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F78" w:rsidRPr="00691F78" w:rsidRDefault="00691F78" w:rsidP="005B78AB">
      <w:pPr>
        <w:spacing w:before="120"/>
        <w:jc w:val="right"/>
        <w:rPr>
          <w:b/>
          <w:color w:val="7F7F7F" w:themeColor="text1" w:themeTint="80"/>
          <w:sz w:val="28"/>
          <w:szCs w:val="28"/>
        </w:rPr>
      </w:pPr>
      <w:r w:rsidRPr="00691F78">
        <w:rPr>
          <w:b/>
          <w:color w:val="7F7F7F" w:themeColor="text1" w:themeTint="80"/>
          <w:sz w:val="28"/>
          <w:szCs w:val="28"/>
        </w:rPr>
        <w:t>INSTITUT DE D</w:t>
      </w:r>
      <w:r w:rsidRPr="00691F78">
        <w:rPr>
          <w:rFonts w:cs="Calibri"/>
          <w:b/>
          <w:color w:val="7F7F7F" w:themeColor="text1" w:themeTint="80"/>
          <w:sz w:val="28"/>
          <w:szCs w:val="28"/>
        </w:rPr>
        <w:t>É</w:t>
      </w:r>
      <w:r w:rsidRPr="00691F78">
        <w:rPr>
          <w:b/>
          <w:color w:val="7F7F7F" w:themeColor="text1" w:themeTint="80"/>
          <w:sz w:val="28"/>
          <w:szCs w:val="28"/>
        </w:rPr>
        <w:t>MOGRAPHIE</w:t>
      </w:r>
    </w:p>
    <w:p w:rsidR="0044613A" w:rsidRPr="00691F78" w:rsidRDefault="00691F78" w:rsidP="002C1DA6">
      <w:pPr>
        <w:jc w:val="right"/>
        <w:rPr>
          <w:b/>
          <w:i/>
          <w:color w:val="7F7F7F" w:themeColor="text1" w:themeTint="80"/>
          <w:sz w:val="28"/>
          <w:szCs w:val="28"/>
        </w:rPr>
      </w:pPr>
      <w:r w:rsidRPr="00691F78">
        <w:rPr>
          <w:b/>
          <w:i/>
          <w:color w:val="7F7F7F" w:themeColor="text1" w:themeTint="80"/>
          <w:sz w:val="28"/>
          <w:szCs w:val="28"/>
        </w:rPr>
        <w:t>RAPPORT D’ACTIVIT</w:t>
      </w:r>
      <w:r w:rsidRPr="00691F78">
        <w:rPr>
          <w:rFonts w:cs="Calibri"/>
          <w:b/>
          <w:i/>
          <w:color w:val="7F7F7F" w:themeColor="text1" w:themeTint="80"/>
          <w:sz w:val="28"/>
          <w:szCs w:val="28"/>
        </w:rPr>
        <w:t>É</w:t>
      </w:r>
      <w:r w:rsidR="009F3412">
        <w:rPr>
          <w:b/>
          <w:i/>
          <w:color w:val="7F7F7F" w:themeColor="text1" w:themeTint="80"/>
          <w:sz w:val="28"/>
          <w:szCs w:val="28"/>
        </w:rPr>
        <w:t xml:space="preserve"> 2013-2014</w:t>
      </w:r>
    </w:p>
    <w:p w:rsidR="00691F78" w:rsidRDefault="00691F78" w:rsidP="005B78AB">
      <w:pPr>
        <w:spacing w:before="120"/>
        <w:ind w:firstLine="426"/>
        <w:jc w:val="both"/>
      </w:pPr>
    </w:p>
    <w:p w:rsidR="00691F78" w:rsidRDefault="00691F78" w:rsidP="005B78AB">
      <w:pPr>
        <w:spacing w:before="120"/>
        <w:ind w:firstLine="426"/>
        <w:jc w:val="both"/>
      </w:pPr>
      <w:r>
        <w:rPr>
          <w:noProof/>
          <w:lang w:eastAsia="fr-FR"/>
        </w:rPr>
        <mc:AlternateContent>
          <mc:Choice Requires="wps">
            <w:drawing>
              <wp:anchor distT="0" distB="0" distL="114300" distR="114300" simplePos="0" relativeHeight="251659264" behindDoc="0" locked="0" layoutInCell="1" allowOverlap="1" wp14:anchorId="5F6BE8C3" wp14:editId="49CD6FA9">
                <wp:simplePos x="0" y="0"/>
                <wp:positionH relativeFrom="column">
                  <wp:posOffset>14605</wp:posOffset>
                </wp:positionH>
                <wp:positionV relativeFrom="paragraph">
                  <wp:posOffset>54610</wp:posOffset>
                </wp:positionV>
                <wp:extent cx="5753100" cy="47625"/>
                <wp:effectExtent l="19050" t="19050" r="19050" b="28575"/>
                <wp:wrapNone/>
                <wp:docPr id="1" name="Connecteur droit 1"/>
                <wp:cNvGraphicFramePr/>
                <a:graphic xmlns:a="http://schemas.openxmlformats.org/drawingml/2006/main">
                  <a:graphicData uri="http://schemas.microsoft.com/office/word/2010/wordprocessingShape">
                    <wps:wsp>
                      <wps:cNvCnPr/>
                      <wps:spPr>
                        <a:xfrm flipV="1">
                          <a:off x="0" y="0"/>
                          <a:ext cx="5753100" cy="47625"/>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5pt,4.3pt" to="454.1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" strokecolor="black [3213]" strokeweight="2.75pt"/>
            </w:pict>
          </mc:Fallback>
        </mc:AlternateContent>
      </w:r>
    </w:p>
    <w:p w:rsidR="00691F78" w:rsidRDefault="00691F78" w:rsidP="005B78AB">
      <w:pPr>
        <w:spacing w:before="120"/>
        <w:ind w:firstLine="426"/>
        <w:jc w:val="both"/>
      </w:pPr>
    </w:p>
    <w:p w:rsidR="002C2B64" w:rsidRDefault="002C2B64" w:rsidP="002C1DA6">
      <w:pPr>
        <w:spacing w:before="120"/>
        <w:jc w:val="both"/>
      </w:pPr>
    </w:p>
    <w:p w:rsidR="00C26124" w:rsidRDefault="00C26124" w:rsidP="00C26124">
      <w:pPr>
        <w:spacing w:before="120"/>
        <w:ind w:firstLine="426"/>
        <w:jc w:val="both"/>
      </w:pPr>
      <w:r>
        <w:t xml:space="preserve">2013-2014 est la première année </w:t>
      </w:r>
      <w:r w:rsidR="0023012E">
        <w:t xml:space="preserve">universitaire </w:t>
      </w:r>
      <w:r>
        <w:t xml:space="preserve">du contrat quinquennal 2013-2018. La nouvelle maquette est quelque peu différente de </w:t>
      </w:r>
      <w:r w:rsidR="006E0357">
        <w:t>la</w:t>
      </w:r>
      <w:r w:rsidR="009F3412">
        <w:t xml:space="preserve"> précédente </w:t>
      </w:r>
      <w:r w:rsidR="006E0357">
        <w:t xml:space="preserve">notamment </w:t>
      </w:r>
      <w:r w:rsidR="002B4975">
        <w:t>celle du</w:t>
      </w:r>
      <w:r w:rsidR="006E0357">
        <w:t xml:space="preserve"> master. A</w:t>
      </w:r>
      <w:r w:rsidR="009F3412">
        <w:t xml:space="preserve">vec </w:t>
      </w:r>
      <w:r w:rsidR="00B76E39">
        <w:t xml:space="preserve">la recomposition de l’offre </w:t>
      </w:r>
      <w:r w:rsidR="006E0357">
        <w:t xml:space="preserve">pédagogique </w:t>
      </w:r>
      <w:r w:rsidR="00B76E39">
        <w:t xml:space="preserve">imposée par </w:t>
      </w:r>
      <w:r w:rsidR="006E0357">
        <w:t>les mesures</w:t>
      </w:r>
      <w:r w:rsidR="00B76E39">
        <w:t xml:space="preserve"> d’économie, des changements relativement sensibles </w:t>
      </w:r>
      <w:r w:rsidR="006E0357">
        <w:t>sont observés</w:t>
      </w:r>
      <w:r w:rsidR="002B4975">
        <w:t>,</w:t>
      </w:r>
      <w:r w:rsidR="006E0357">
        <w:t xml:space="preserve"> </w:t>
      </w:r>
      <w:r w:rsidR="00B76E39">
        <w:t xml:space="preserve">notamment </w:t>
      </w:r>
      <w:r w:rsidR="006E0357">
        <w:t>l’augmentation de la part des cours mutualisés et</w:t>
      </w:r>
      <w:r w:rsidR="00B76E39">
        <w:t xml:space="preserve"> le </w:t>
      </w:r>
      <w:r w:rsidR="006E0357">
        <w:t xml:space="preserve">moindre </w:t>
      </w:r>
      <w:r w:rsidR="00B76E39">
        <w:t>recours aux intervenants extérieurs</w:t>
      </w:r>
      <w:r w:rsidR="00250A90">
        <w:t>. Cependant, g</w:t>
      </w:r>
      <w:r>
        <w:t xml:space="preserve">lobalement </w:t>
      </w:r>
      <w:r w:rsidR="009F3412">
        <w:t>les grandes lignes de l’activité de l’institut de démographie et les tendances dégagées au cours des dernières années restent inchangées.</w:t>
      </w:r>
    </w:p>
    <w:p w:rsidR="0068323B" w:rsidRDefault="0068323B" w:rsidP="005B78AB">
      <w:pPr>
        <w:spacing w:before="120"/>
        <w:ind w:firstLine="426"/>
        <w:jc w:val="both"/>
      </w:pPr>
    </w:p>
    <w:p w:rsidR="00B92390" w:rsidRDefault="00B92390" w:rsidP="00250A90">
      <w:pPr>
        <w:spacing w:before="120"/>
        <w:jc w:val="both"/>
      </w:pPr>
    </w:p>
    <w:p w:rsidR="00B92390" w:rsidRPr="00A252D0" w:rsidRDefault="009F3412" w:rsidP="005B78AB">
      <w:pPr>
        <w:spacing w:before="120"/>
        <w:ind w:firstLine="426"/>
        <w:jc w:val="both"/>
        <w:rPr>
          <w:rFonts w:asciiTheme="minorHAnsi" w:hAnsiTheme="minorHAnsi" w:cstheme="minorHAnsi"/>
          <w:b/>
        </w:rPr>
      </w:pPr>
      <w:r>
        <w:rPr>
          <w:rFonts w:ascii="Arial" w:hAnsi="Arial" w:cs="Arial"/>
          <w:b/>
        </w:rPr>
        <w:t xml:space="preserve">● </w:t>
      </w:r>
      <w:r w:rsidR="00A252D0">
        <w:rPr>
          <w:rFonts w:asciiTheme="minorHAnsi" w:hAnsiTheme="minorHAnsi" w:cstheme="minorHAnsi"/>
          <w:b/>
        </w:rPr>
        <w:t>É</w:t>
      </w:r>
      <w:r w:rsidR="00F1231C" w:rsidRPr="00A252D0">
        <w:rPr>
          <w:rFonts w:asciiTheme="minorHAnsi" w:hAnsiTheme="minorHAnsi" w:cstheme="minorHAnsi"/>
          <w:b/>
        </w:rPr>
        <w:t>quipe pédagogique</w:t>
      </w:r>
    </w:p>
    <w:p w:rsidR="00F1231C" w:rsidRDefault="00250A90" w:rsidP="005B78AB">
      <w:pPr>
        <w:spacing w:before="120"/>
        <w:ind w:firstLine="426"/>
        <w:jc w:val="both"/>
        <w:rPr>
          <w:rFonts w:asciiTheme="minorHAnsi" w:hAnsiTheme="minorHAnsi" w:cstheme="minorHAnsi"/>
        </w:rPr>
      </w:pPr>
      <w:r>
        <w:rPr>
          <w:rFonts w:asciiTheme="minorHAnsi" w:hAnsiTheme="minorHAnsi" w:cstheme="minorHAnsi"/>
        </w:rPr>
        <w:t>Depuis le départ de Brigitte Fichet le 1</w:t>
      </w:r>
      <w:r w:rsidRPr="00250A90">
        <w:rPr>
          <w:rFonts w:asciiTheme="minorHAnsi" w:hAnsiTheme="minorHAnsi" w:cstheme="minorHAnsi"/>
          <w:vertAlign w:val="superscript"/>
        </w:rPr>
        <w:t>er</w:t>
      </w:r>
      <w:r>
        <w:rPr>
          <w:rFonts w:asciiTheme="minorHAnsi" w:hAnsiTheme="minorHAnsi" w:cstheme="minorHAnsi"/>
        </w:rPr>
        <w:t xml:space="preserve"> février 2013, l</w:t>
      </w:r>
      <w:r w:rsidR="00F1231C" w:rsidRPr="00A252D0">
        <w:rPr>
          <w:rFonts w:asciiTheme="minorHAnsi" w:hAnsiTheme="minorHAnsi" w:cstheme="minorHAnsi"/>
        </w:rPr>
        <w:t>e corps enseignant</w:t>
      </w:r>
      <w:r w:rsidR="00A252D0" w:rsidRPr="00A252D0">
        <w:rPr>
          <w:rFonts w:asciiTheme="minorHAnsi" w:hAnsiTheme="minorHAnsi" w:cstheme="minorHAnsi"/>
        </w:rPr>
        <w:t xml:space="preserve"> de l’institut de démographie est constitué d’un noyau permanent de </w:t>
      </w:r>
      <w:r>
        <w:rPr>
          <w:rFonts w:asciiTheme="minorHAnsi" w:hAnsiTheme="minorHAnsi" w:cstheme="minorHAnsi"/>
        </w:rPr>
        <w:t>cinq</w:t>
      </w:r>
      <w:r w:rsidR="00A252D0" w:rsidRPr="00A252D0">
        <w:rPr>
          <w:rFonts w:asciiTheme="minorHAnsi" w:hAnsiTheme="minorHAnsi" w:cstheme="minorHAnsi"/>
        </w:rPr>
        <w:t xml:space="preserve"> enseignants-chercheurs</w:t>
      </w:r>
      <w:r>
        <w:rPr>
          <w:rFonts w:asciiTheme="minorHAnsi" w:hAnsiTheme="minorHAnsi" w:cstheme="minorHAnsi"/>
        </w:rPr>
        <w:t xml:space="preserve"> (1 PR et 4 MCF dont un HDR). Quelques changements en 2013-2014</w:t>
      </w:r>
      <w:r w:rsidR="00A252D0">
        <w:rPr>
          <w:rFonts w:asciiTheme="minorHAnsi" w:hAnsiTheme="minorHAnsi" w:cstheme="minorHAnsi"/>
        </w:rPr>
        <w:t xml:space="preserve"> : </w:t>
      </w:r>
    </w:p>
    <w:p w:rsidR="005B78AB" w:rsidRDefault="005B78AB" w:rsidP="005B78AB">
      <w:pPr>
        <w:spacing w:before="120"/>
        <w:ind w:firstLine="426"/>
        <w:jc w:val="both"/>
        <w:rPr>
          <w:rFonts w:asciiTheme="minorHAnsi" w:hAnsiTheme="minorHAnsi" w:cstheme="minorHAnsi"/>
        </w:rPr>
      </w:pPr>
      <w:r>
        <w:rPr>
          <w:rFonts w:asciiTheme="minorHAnsi" w:hAnsiTheme="minorHAnsi" w:cstheme="minorHAnsi"/>
        </w:rPr>
        <w:t xml:space="preserve">- Didier Breton a été nommé PR </w:t>
      </w:r>
      <w:r w:rsidR="008C2568">
        <w:rPr>
          <w:rFonts w:asciiTheme="minorHAnsi" w:hAnsiTheme="minorHAnsi" w:cstheme="minorHAnsi"/>
        </w:rPr>
        <w:t>(</w:t>
      </w:r>
      <w:r w:rsidR="003F05A0">
        <w:rPr>
          <w:rFonts w:asciiTheme="minorHAnsi" w:hAnsiTheme="minorHAnsi" w:cstheme="minorHAnsi"/>
        </w:rPr>
        <w:t>affectation depuis le 20 juin</w:t>
      </w:r>
      <w:r w:rsidR="00250A90">
        <w:rPr>
          <w:rFonts w:asciiTheme="minorHAnsi" w:hAnsiTheme="minorHAnsi" w:cstheme="minorHAnsi"/>
        </w:rPr>
        <w:t xml:space="preserve"> 2013</w:t>
      </w:r>
      <w:r w:rsidR="008C2568">
        <w:rPr>
          <w:rFonts w:asciiTheme="minorHAnsi" w:hAnsiTheme="minorHAnsi" w:cstheme="minorHAnsi"/>
        </w:rPr>
        <w:t>)</w:t>
      </w:r>
      <w:r>
        <w:rPr>
          <w:rFonts w:asciiTheme="minorHAnsi" w:hAnsiTheme="minorHAnsi" w:cstheme="minorHAnsi"/>
        </w:rPr>
        <w:t>.</w:t>
      </w:r>
    </w:p>
    <w:p w:rsidR="00250A90" w:rsidRDefault="00250A90" w:rsidP="005B78AB">
      <w:pPr>
        <w:spacing w:before="120"/>
        <w:ind w:firstLine="426"/>
        <w:jc w:val="both"/>
        <w:rPr>
          <w:rFonts w:asciiTheme="minorHAnsi" w:hAnsiTheme="minorHAnsi" w:cstheme="minorHAnsi"/>
        </w:rPr>
      </w:pPr>
      <w:r>
        <w:rPr>
          <w:rFonts w:asciiTheme="minorHAnsi" w:hAnsiTheme="minorHAnsi" w:cstheme="minorHAnsi"/>
        </w:rPr>
        <w:t xml:space="preserve">- Philippe </w:t>
      </w:r>
      <w:proofErr w:type="spellStart"/>
      <w:r>
        <w:rPr>
          <w:rFonts w:asciiTheme="minorHAnsi" w:hAnsiTheme="minorHAnsi" w:cstheme="minorHAnsi"/>
        </w:rPr>
        <w:t>Cordazzo</w:t>
      </w:r>
      <w:proofErr w:type="spellEnd"/>
      <w:r>
        <w:rPr>
          <w:rFonts w:asciiTheme="minorHAnsi" w:hAnsiTheme="minorHAnsi" w:cstheme="minorHAnsi"/>
        </w:rPr>
        <w:t xml:space="preserve"> a obtenu son HDR le 25 novembre.</w:t>
      </w:r>
    </w:p>
    <w:p w:rsidR="00250A90" w:rsidRDefault="002B4975" w:rsidP="005B78AB">
      <w:pPr>
        <w:spacing w:before="120"/>
        <w:ind w:firstLine="426"/>
        <w:jc w:val="both"/>
        <w:rPr>
          <w:rFonts w:asciiTheme="minorHAnsi" w:hAnsiTheme="minorHAnsi" w:cstheme="minorHAnsi"/>
        </w:rPr>
      </w:pPr>
      <w:r w:rsidRPr="0023012E">
        <w:rPr>
          <w:rFonts w:asciiTheme="minorHAnsi" w:hAnsiTheme="minorHAnsi" w:cstheme="minorHAnsi"/>
        </w:rPr>
        <w:t xml:space="preserve">- </w:t>
      </w:r>
      <w:r w:rsidR="00250A90" w:rsidRPr="0023012E">
        <w:rPr>
          <w:rFonts w:asciiTheme="minorHAnsi" w:hAnsiTheme="minorHAnsi" w:cstheme="minorHAnsi"/>
        </w:rPr>
        <w:t xml:space="preserve">Nicolas </w:t>
      </w:r>
      <w:proofErr w:type="spellStart"/>
      <w:r w:rsidR="00250A90" w:rsidRPr="0023012E">
        <w:rPr>
          <w:rFonts w:asciiTheme="minorHAnsi" w:hAnsiTheme="minorHAnsi" w:cstheme="minorHAnsi"/>
        </w:rPr>
        <w:t>Cauchi</w:t>
      </w:r>
      <w:proofErr w:type="spellEnd"/>
      <w:r w:rsidR="00250A90" w:rsidRPr="0023012E">
        <w:rPr>
          <w:rFonts w:asciiTheme="minorHAnsi" w:hAnsiTheme="minorHAnsi" w:cstheme="minorHAnsi"/>
        </w:rPr>
        <w:t>-Duval a bénéficié</w:t>
      </w:r>
      <w:r w:rsidR="004D44C6" w:rsidRPr="0023012E">
        <w:rPr>
          <w:rFonts w:asciiTheme="minorHAnsi" w:hAnsiTheme="minorHAnsi" w:cstheme="minorHAnsi"/>
        </w:rPr>
        <w:t xml:space="preserve"> d’une décharge de service </w:t>
      </w:r>
      <w:r w:rsidR="0023012E">
        <w:rPr>
          <w:rFonts w:asciiTheme="minorHAnsi" w:hAnsiTheme="minorHAnsi" w:cstheme="minorHAnsi"/>
        </w:rPr>
        <w:t xml:space="preserve">à hauteur de la moitié de ses obligations statutaires annuelles (soit 96 HETD), dans le cadre de la décharge pour les maîtres de conférences nouvellement nommés. </w:t>
      </w:r>
      <w:r w:rsidR="004D44C6" w:rsidRPr="0023012E">
        <w:rPr>
          <w:rFonts w:asciiTheme="minorHAnsi" w:hAnsiTheme="minorHAnsi" w:cstheme="minorHAnsi"/>
        </w:rPr>
        <w:t>Son service d’enseignement a été réparti entre les enseignants-chercheurs de l’institut de démographie</w:t>
      </w:r>
      <w:r w:rsidR="0023012E">
        <w:rPr>
          <w:rFonts w:asciiTheme="minorHAnsi" w:hAnsiTheme="minorHAnsi" w:cstheme="minorHAnsi"/>
        </w:rPr>
        <w:t>.</w:t>
      </w:r>
    </w:p>
    <w:p w:rsidR="005B78AB" w:rsidRDefault="0029571F" w:rsidP="006E0357">
      <w:pPr>
        <w:spacing w:before="360"/>
        <w:ind w:firstLine="425"/>
        <w:jc w:val="both"/>
        <w:rPr>
          <w:rFonts w:asciiTheme="minorHAnsi" w:hAnsiTheme="minorHAnsi" w:cstheme="minorHAnsi"/>
        </w:rPr>
      </w:pPr>
      <w:r>
        <w:rPr>
          <w:rFonts w:asciiTheme="minorHAnsi" w:hAnsiTheme="minorHAnsi" w:cstheme="minorHAnsi"/>
        </w:rPr>
        <w:t xml:space="preserve">L’équipe pédagogique est ensuite renforcée par l’intervention </w:t>
      </w:r>
      <w:r w:rsidR="00220C85">
        <w:rPr>
          <w:rFonts w:asciiTheme="minorHAnsi" w:hAnsiTheme="minorHAnsi" w:cstheme="minorHAnsi"/>
        </w:rPr>
        <w:t xml:space="preserve">d’enseignants-chercheurs de la faculté ou </w:t>
      </w:r>
      <w:r>
        <w:rPr>
          <w:rFonts w:asciiTheme="minorHAnsi" w:hAnsiTheme="minorHAnsi" w:cstheme="minorHAnsi"/>
        </w:rPr>
        <w:t>de spécialistes d’un domaine proche ou associé à la démographie.</w:t>
      </w:r>
      <w:r w:rsidR="004D44C6">
        <w:rPr>
          <w:rFonts w:asciiTheme="minorHAnsi" w:hAnsiTheme="minorHAnsi" w:cstheme="minorHAnsi"/>
        </w:rPr>
        <w:t xml:space="preserve"> Quelques changements en 2013-2014</w:t>
      </w:r>
      <w:r w:rsidR="00220C85">
        <w:rPr>
          <w:rFonts w:asciiTheme="minorHAnsi" w:hAnsiTheme="minorHAnsi" w:cstheme="minorHAnsi"/>
        </w:rPr>
        <w:t> :</w:t>
      </w:r>
    </w:p>
    <w:p w:rsidR="004D44C6" w:rsidRDefault="00220C85" w:rsidP="005B78AB">
      <w:pPr>
        <w:spacing w:before="120"/>
        <w:ind w:firstLine="426"/>
        <w:jc w:val="both"/>
        <w:rPr>
          <w:rFonts w:asciiTheme="minorHAnsi" w:hAnsiTheme="minorHAnsi" w:cstheme="minorHAnsi"/>
        </w:rPr>
      </w:pPr>
      <w:r>
        <w:rPr>
          <w:rFonts w:asciiTheme="minorHAnsi" w:hAnsiTheme="minorHAnsi" w:cstheme="minorHAnsi"/>
        </w:rPr>
        <w:t xml:space="preserve">- </w:t>
      </w:r>
      <w:r w:rsidR="004D44C6">
        <w:rPr>
          <w:rFonts w:asciiTheme="minorHAnsi" w:hAnsiTheme="minorHAnsi" w:cstheme="minorHAnsi"/>
        </w:rPr>
        <w:t xml:space="preserve">Reprise de l’enseignement sur les méthodes qualitatives par </w:t>
      </w:r>
      <w:r>
        <w:rPr>
          <w:rFonts w:asciiTheme="minorHAnsi" w:hAnsiTheme="minorHAnsi" w:cstheme="minorHAnsi"/>
        </w:rPr>
        <w:t xml:space="preserve">Catherine </w:t>
      </w:r>
      <w:proofErr w:type="spellStart"/>
      <w:r>
        <w:rPr>
          <w:rFonts w:asciiTheme="minorHAnsi" w:hAnsiTheme="minorHAnsi" w:cstheme="minorHAnsi"/>
        </w:rPr>
        <w:t>Delcroix</w:t>
      </w:r>
      <w:proofErr w:type="spellEnd"/>
      <w:r>
        <w:rPr>
          <w:rFonts w:asciiTheme="minorHAnsi" w:hAnsiTheme="minorHAnsi" w:cstheme="minorHAnsi"/>
        </w:rPr>
        <w:t xml:space="preserve"> </w:t>
      </w:r>
      <w:r w:rsidR="004D44C6">
        <w:rPr>
          <w:rFonts w:asciiTheme="minorHAnsi" w:hAnsiTheme="minorHAnsi" w:cstheme="minorHAnsi"/>
        </w:rPr>
        <w:t>(cours dispensé par</w:t>
      </w:r>
      <w:r>
        <w:rPr>
          <w:rFonts w:asciiTheme="minorHAnsi" w:hAnsiTheme="minorHAnsi" w:cstheme="minorHAnsi"/>
        </w:rPr>
        <w:t xml:space="preserve"> Sylvie </w:t>
      </w:r>
      <w:proofErr w:type="spellStart"/>
      <w:r>
        <w:rPr>
          <w:rFonts w:asciiTheme="minorHAnsi" w:hAnsiTheme="minorHAnsi" w:cstheme="minorHAnsi"/>
        </w:rPr>
        <w:t>Monchatre</w:t>
      </w:r>
      <w:proofErr w:type="spellEnd"/>
      <w:r w:rsidR="004D44C6">
        <w:rPr>
          <w:rFonts w:asciiTheme="minorHAnsi" w:hAnsiTheme="minorHAnsi" w:cstheme="minorHAnsi"/>
        </w:rPr>
        <w:t xml:space="preserve"> en 2012-2013)</w:t>
      </w:r>
      <w:r>
        <w:rPr>
          <w:rFonts w:asciiTheme="minorHAnsi" w:hAnsiTheme="minorHAnsi" w:cstheme="minorHAnsi"/>
        </w:rPr>
        <w:t xml:space="preserve">, </w:t>
      </w:r>
      <w:r w:rsidR="004D44C6">
        <w:rPr>
          <w:rFonts w:asciiTheme="minorHAnsi" w:hAnsiTheme="minorHAnsi" w:cstheme="minorHAnsi"/>
        </w:rPr>
        <w:t xml:space="preserve">prise en charge </w:t>
      </w:r>
      <w:r w:rsidR="0072020D">
        <w:rPr>
          <w:rFonts w:asciiTheme="minorHAnsi" w:hAnsiTheme="minorHAnsi" w:cstheme="minorHAnsi"/>
        </w:rPr>
        <w:t xml:space="preserve">par Mohamed </w:t>
      </w:r>
      <w:proofErr w:type="spellStart"/>
      <w:r w:rsidR="0072020D">
        <w:rPr>
          <w:rFonts w:asciiTheme="minorHAnsi" w:hAnsiTheme="minorHAnsi" w:cstheme="minorHAnsi"/>
        </w:rPr>
        <w:t>Ouardani</w:t>
      </w:r>
      <w:proofErr w:type="spellEnd"/>
      <w:r w:rsidR="0072020D">
        <w:rPr>
          <w:rFonts w:asciiTheme="minorHAnsi" w:hAnsiTheme="minorHAnsi" w:cstheme="minorHAnsi"/>
        </w:rPr>
        <w:t xml:space="preserve"> </w:t>
      </w:r>
      <w:r w:rsidR="004D44C6">
        <w:rPr>
          <w:rFonts w:asciiTheme="minorHAnsi" w:hAnsiTheme="minorHAnsi" w:cstheme="minorHAnsi"/>
        </w:rPr>
        <w:t xml:space="preserve">du cours de statistiques </w:t>
      </w:r>
      <w:r w:rsidR="0072020D">
        <w:rPr>
          <w:rFonts w:asciiTheme="minorHAnsi" w:hAnsiTheme="minorHAnsi" w:cstheme="minorHAnsi"/>
        </w:rPr>
        <w:t>au premier semestre du parcours démographie de la licence (cours mutualisé).</w:t>
      </w:r>
    </w:p>
    <w:p w:rsidR="00220C85" w:rsidRDefault="00220C85" w:rsidP="005B78AB">
      <w:pPr>
        <w:spacing w:before="120"/>
        <w:ind w:firstLine="426"/>
        <w:jc w:val="both"/>
        <w:rPr>
          <w:rFonts w:asciiTheme="minorHAnsi" w:hAnsiTheme="minorHAnsi" w:cstheme="minorHAnsi"/>
        </w:rPr>
      </w:pPr>
      <w:r>
        <w:rPr>
          <w:rFonts w:asciiTheme="minorHAnsi" w:hAnsiTheme="minorHAnsi" w:cstheme="minorHAnsi"/>
        </w:rPr>
        <w:t>Parmi les intervenants extérieurs,</w:t>
      </w:r>
      <w:r w:rsidR="0072020D">
        <w:rPr>
          <w:rFonts w:asciiTheme="minorHAnsi" w:hAnsiTheme="minorHAnsi" w:cstheme="minorHAnsi"/>
        </w:rPr>
        <w:t xml:space="preserve"> après un an d’absence</w:t>
      </w:r>
      <w:r w:rsidR="006502FA">
        <w:rPr>
          <w:rFonts w:asciiTheme="minorHAnsi" w:hAnsiTheme="minorHAnsi" w:cstheme="minorHAnsi"/>
        </w:rPr>
        <w:t xml:space="preserve">, Marc </w:t>
      </w:r>
      <w:proofErr w:type="spellStart"/>
      <w:r w:rsidR="006502FA">
        <w:rPr>
          <w:rFonts w:asciiTheme="minorHAnsi" w:hAnsiTheme="minorHAnsi" w:cstheme="minorHAnsi"/>
        </w:rPr>
        <w:t>Schalck</w:t>
      </w:r>
      <w:proofErr w:type="spellEnd"/>
      <w:r w:rsidR="006502FA">
        <w:rPr>
          <w:rFonts w:asciiTheme="minorHAnsi" w:hAnsiTheme="minorHAnsi" w:cstheme="minorHAnsi"/>
        </w:rPr>
        <w:t>, directeur du Compas-</w:t>
      </w:r>
      <w:proofErr w:type="spellStart"/>
      <w:r w:rsidR="006502FA">
        <w:rPr>
          <w:rFonts w:asciiTheme="minorHAnsi" w:hAnsiTheme="minorHAnsi" w:cstheme="minorHAnsi"/>
        </w:rPr>
        <w:t>Tis</w:t>
      </w:r>
      <w:proofErr w:type="spellEnd"/>
      <w:r w:rsidR="006502FA">
        <w:rPr>
          <w:rFonts w:asciiTheme="minorHAnsi" w:hAnsiTheme="minorHAnsi" w:cstheme="minorHAnsi"/>
        </w:rPr>
        <w:t xml:space="preserve"> est revenu au sein du corps enseignant</w:t>
      </w:r>
      <w:r w:rsidR="00517C5F">
        <w:rPr>
          <w:rFonts w:asciiTheme="minorHAnsi" w:hAnsiTheme="minorHAnsi" w:cstheme="minorHAnsi"/>
        </w:rPr>
        <w:t xml:space="preserve"> de l’institut de démographie</w:t>
      </w:r>
      <w:r w:rsidR="006502FA">
        <w:rPr>
          <w:rFonts w:asciiTheme="minorHAnsi" w:hAnsiTheme="minorHAnsi" w:cstheme="minorHAnsi"/>
        </w:rPr>
        <w:t xml:space="preserve">. Dominique </w:t>
      </w:r>
      <w:proofErr w:type="spellStart"/>
      <w:r w:rsidR="006502FA">
        <w:rPr>
          <w:rFonts w:asciiTheme="minorHAnsi" w:hAnsiTheme="minorHAnsi" w:cstheme="minorHAnsi"/>
        </w:rPr>
        <w:t>Kelhetter</w:t>
      </w:r>
      <w:proofErr w:type="spellEnd"/>
      <w:r w:rsidR="006502FA">
        <w:rPr>
          <w:rFonts w:asciiTheme="minorHAnsi" w:hAnsiTheme="minorHAnsi" w:cstheme="minorHAnsi"/>
        </w:rPr>
        <w:t xml:space="preserve"> et Pierre-Stéphane </w:t>
      </w:r>
      <w:proofErr w:type="spellStart"/>
      <w:r w:rsidR="006502FA">
        <w:rPr>
          <w:rFonts w:asciiTheme="minorHAnsi" w:hAnsiTheme="minorHAnsi" w:cstheme="minorHAnsi"/>
        </w:rPr>
        <w:t>Lèbre</w:t>
      </w:r>
      <w:proofErr w:type="spellEnd"/>
      <w:r w:rsidR="006D7D6D">
        <w:rPr>
          <w:rFonts w:asciiTheme="minorHAnsi" w:hAnsiTheme="minorHAnsi" w:cstheme="minorHAnsi"/>
        </w:rPr>
        <w:t xml:space="preserve"> (</w:t>
      </w:r>
      <w:r w:rsidR="006502FA">
        <w:rPr>
          <w:rFonts w:asciiTheme="minorHAnsi" w:hAnsiTheme="minorHAnsi" w:cstheme="minorHAnsi"/>
        </w:rPr>
        <w:t>chargés</w:t>
      </w:r>
      <w:r w:rsidR="008C2568">
        <w:rPr>
          <w:rFonts w:asciiTheme="minorHAnsi" w:hAnsiTheme="minorHAnsi" w:cstheme="minorHAnsi"/>
        </w:rPr>
        <w:t xml:space="preserve"> d’études statistiques</w:t>
      </w:r>
      <w:r w:rsidR="006D7D6D">
        <w:rPr>
          <w:rFonts w:asciiTheme="minorHAnsi" w:hAnsiTheme="minorHAnsi" w:cstheme="minorHAnsi"/>
        </w:rPr>
        <w:t xml:space="preserve"> à l’INSEE Alsace) </w:t>
      </w:r>
      <w:r w:rsidR="006502FA">
        <w:rPr>
          <w:rFonts w:asciiTheme="minorHAnsi" w:hAnsiTheme="minorHAnsi" w:cstheme="minorHAnsi"/>
        </w:rPr>
        <w:t xml:space="preserve">ont remplacé </w:t>
      </w:r>
      <w:r w:rsidR="00590AC8">
        <w:rPr>
          <w:rFonts w:asciiTheme="minorHAnsi" w:hAnsiTheme="minorHAnsi" w:cstheme="minorHAnsi"/>
        </w:rPr>
        <w:t xml:space="preserve">respectivement </w:t>
      </w:r>
      <w:r w:rsidR="00517C5F">
        <w:rPr>
          <w:rFonts w:asciiTheme="minorHAnsi" w:hAnsiTheme="minorHAnsi" w:cstheme="minorHAnsi"/>
        </w:rPr>
        <w:t xml:space="preserve">Yves </w:t>
      </w:r>
      <w:proofErr w:type="spellStart"/>
      <w:r w:rsidR="00517C5F">
        <w:rPr>
          <w:rFonts w:asciiTheme="minorHAnsi" w:hAnsiTheme="minorHAnsi" w:cstheme="minorHAnsi"/>
        </w:rPr>
        <w:t>Frydel</w:t>
      </w:r>
      <w:proofErr w:type="spellEnd"/>
      <w:r w:rsidR="00517C5F">
        <w:rPr>
          <w:rFonts w:asciiTheme="minorHAnsi" w:hAnsiTheme="minorHAnsi" w:cstheme="minorHAnsi"/>
        </w:rPr>
        <w:t xml:space="preserve"> </w:t>
      </w:r>
      <w:r w:rsidR="00590AC8">
        <w:rPr>
          <w:rFonts w:asciiTheme="minorHAnsi" w:hAnsiTheme="minorHAnsi" w:cstheme="minorHAnsi"/>
        </w:rPr>
        <w:t xml:space="preserve">et Béatrice </w:t>
      </w:r>
      <w:proofErr w:type="spellStart"/>
      <w:r w:rsidR="00590AC8">
        <w:rPr>
          <w:rFonts w:asciiTheme="minorHAnsi" w:hAnsiTheme="minorHAnsi" w:cstheme="minorHAnsi"/>
        </w:rPr>
        <w:t>Neiter</w:t>
      </w:r>
      <w:proofErr w:type="spellEnd"/>
      <w:r w:rsidR="00590AC8">
        <w:rPr>
          <w:rFonts w:asciiTheme="minorHAnsi" w:hAnsiTheme="minorHAnsi" w:cstheme="minorHAnsi"/>
        </w:rPr>
        <w:t xml:space="preserve"> </w:t>
      </w:r>
      <w:r w:rsidR="00517C5F">
        <w:rPr>
          <w:rFonts w:asciiTheme="minorHAnsi" w:hAnsiTheme="minorHAnsi" w:cstheme="minorHAnsi"/>
        </w:rPr>
        <w:t>(INSEE Alsace également).</w:t>
      </w:r>
    </w:p>
    <w:p w:rsidR="00517C5F" w:rsidRDefault="00517C5F" w:rsidP="006E0357">
      <w:pPr>
        <w:spacing w:before="360"/>
        <w:ind w:firstLine="425"/>
        <w:jc w:val="both"/>
        <w:rPr>
          <w:rFonts w:asciiTheme="minorHAnsi" w:hAnsiTheme="minorHAnsi" w:cstheme="minorHAnsi"/>
        </w:rPr>
      </w:pPr>
      <w:r>
        <w:rPr>
          <w:rFonts w:asciiTheme="minorHAnsi" w:hAnsiTheme="minorHAnsi" w:cstheme="minorHAnsi"/>
        </w:rPr>
        <w:t xml:space="preserve">Enfin, à la demande de l’AERES, l’institut de démographie a introduit un cours de géographie humaine en première année du master. Nous avons ainsi mutualisé un cours de Christophe </w:t>
      </w:r>
      <w:proofErr w:type="spellStart"/>
      <w:r>
        <w:rPr>
          <w:rFonts w:asciiTheme="minorHAnsi" w:hAnsiTheme="minorHAnsi" w:cstheme="minorHAnsi"/>
        </w:rPr>
        <w:t>Enaux</w:t>
      </w:r>
      <w:proofErr w:type="spellEnd"/>
      <w:r>
        <w:rPr>
          <w:rFonts w:asciiTheme="minorHAnsi" w:hAnsiTheme="minorHAnsi" w:cstheme="minorHAnsi"/>
        </w:rPr>
        <w:t xml:space="preserve"> (UDS) </w:t>
      </w:r>
      <w:r w:rsidR="006E0357">
        <w:rPr>
          <w:rFonts w:asciiTheme="minorHAnsi" w:hAnsiTheme="minorHAnsi" w:cstheme="minorHAnsi"/>
        </w:rPr>
        <w:t xml:space="preserve">avec l’UFR de géographie </w:t>
      </w:r>
      <w:r>
        <w:rPr>
          <w:rFonts w:asciiTheme="minorHAnsi" w:hAnsiTheme="minorHAnsi" w:cstheme="minorHAnsi"/>
        </w:rPr>
        <w:t>sur les formes de mobilité urbaine. Par ailleurs, nous avons également mutualisé avec le master d’anthropologie et ethnologie de notre faculté, un cours</w:t>
      </w:r>
      <w:r w:rsidR="00590AC8">
        <w:rPr>
          <w:rFonts w:asciiTheme="minorHAnsi" w:hAnsiTheme="minorHAnsi" w:cstheme="minorHAnsi"/>
        </w:rPr>
        <w:t xml:space="preserve"> de « Démographie pour le terrain ethnographique » (18 h) dispensé par Véronique </w:t>
      </w:r>
      <w:proofErr w:type="spellStart"/>
      <w:r w:rsidR="00590AC8">
        <w:rPr>
          <w:rFonts w:asciiTheme="minorHAnsi" w:hAnsiTheme="minorHAnsi" w:cstheme="minorHAnsi"/>
        </w:rPr>
        <w:t>Hertrich</w:t>
      </w:r>
      <w:proofErr w:type="spellEnd"/>
      <w:r w:rsidR="00590AC8">
        <w:rPr>
          <w:rFonts w:asciiTheme="minorHAnsi" w:hAnsiTheme="minorHAnsi" w:cstheme="minorHAnsi"/>
        </w:rPr>
        <w:t xml:space="preserve"> (INED </w:t>
      </w:r>
      <w:r w:rsidR="00573C3D">
        <w:rPr>
          <w:rFonts w:asciiTheme="minorHAnsi" w:hAnsiTheme="minorHAnsi" w:cstheme="minorHAnsi"/>
        </w:rPr>
        <w:t xml:space="preserve">- </w:t>
      </w:r>
      <w:r w:rsidR="00590AC8">
        <w:rPr>
          <w:rFonts w:asciiTheme="minorHAnsi" w:hAnsiTheme="minorHAnsi" w:cstheme="minorHAnsi"/>
        </w:rPr>
        <w:t>Paris).</w:t>
      </w:r>
    </w:p>
    <w:p w:rsidR="00220C85" w:rsidRDefault="00220C85" w:rsidP="005B78AB">
      <w:pPr>
        <w:spacing w:before="120"/>
        <w:ind w:firstLine="426"/>
        <w:jc w:val="both"/>
        <w:rPr>
          <w:rFonts w:asciiTheme="minorHAnsi" w:hAnsiTheme="minorHAnsi" w:cstheme="minorHAnsi"/>
        </w:rPr>
      </w:pPr>
    </w:p>
    <w:p w:rsidR="00590AC8" w:rsidRDefault="00590AC8" w:rsidP="005B78AB">
      <w:pPr>
        <w:spacing w:before="120"/>
        <w:ind w:firstLine="426"/>
        <w:jc w:val="both"/>
        <w:rPr>
          <w:rFonts w:asciiTheme="minorHAnsi" w:hAnsiTheme="minorHAnsi" w:cstheme="minorHAnsi"/>
        </w:rPr>
      </w:pPr>
    </w:p>
    <w:p w:rsidR="00590AC8" w:rsidRPr="006D7D6D" w:rsidRDefault="00590AC8" w:rsidP="00590AC8">
      <w:pPr>
        <w:spacing w:before="120"/>
        <w:ind w:firstLine="426"/>
        <w:jc w:val="both"/>
        <w:rPr>
          <w:rFonts w:asciiTheme="minorHAnsi" w:hAnsiTheme="minorHAnsi" w:cstheme="minorHAnsi"/>
          <w:b/>
        </w:rPr>
      </w:pPr>
      <w:r>
        <w:rPr>
          <w:rFonts w:ascii="Arial" w:hAnsi="Arial" w:cs="Arial"/>
          <w:b/>
        </w:rPr>
        <w:t xml:space="preserve">● </w:t>
      </w:r>
      <w:r w:rsidRPr="006D7D6D">
        <w:rPr>
          <w:rFonts w:asciiTheme="minorHAnsi" w:hAnsiTheme="minorHAnsi" w:cstheme="minorHAnsi"/>
          <w:b/>
        </w:rPr>
        <w:t xml:space="preserve">Volume horaire de l’offre </w:t>
      </w:r>
      <w:r>
        <w:rPr>
          <w:rFonts w:asciiTheme="minorHAnsi" w:hAnsiTheme="minorHAnsi" w:cstheme="minorHAnsi"/>
          <w:b/>
        </w:rPr>
        <w:t>de formation</w:t>
      </w:r>
      <w:r w:rsidR="004A69F2">
        <w:rPr>
          <w:rFonts w:asciiTheme="minorHAnsi" w:hAnsiTheme="minorHAnsi" w:cstheme="minorHAnsi"/>
          <w:b/>
        </w:rPr>
        <w:t xml:space="preserve"> </w:t>
      </w:r>
    </w:p>
    <w:p w:rsidR="00590AC8" w:rsidRDefault="00721D56" w:rsidP="00695AF5">
      <w:pPr>
        <w:spacing w:before="120"/>
        <w:ind w:firstLine="426"/>
        <w:jc w:val="both"/>
        <w:rPr>
          <w:rFonts w:asciiTheme="minorHAnsi" w:hAnsiTheme="minorHAnsi" w:cstheme="minorHAnsi"/>
        </w:rPr>
      </w:pPr>
      <w:r>
        <w:rPr>
          <w:rFonts w:asciiTheme="minorHAnsi" w:hAnsiTheme="minorHAnsi" w:cstheme="minorHAnsi"/>
        </w:rPr>
        <w:t>En 2013-2014</w:t>
      </w:r>
      <w:r w:rsidR="00695AF5">
        <w:rPr>
          <w:rFonts w:asciiTheme="minorHAnsi" w:hAnsiTheme="minorHAnsi" w:cstheme="minorHAnsi"/>
        </w:rPr>
        <w:t xml:space="preserve">, </w:t>
      </w:r>
      <w:r w:rsidR="00590AC8">
        <w:rPr>
          <w:rFonts w:asciiTheme="minorHAnsi" w:hAnsiTheme="minorHAnsi" w:cstheme="minorHAnsi"/>
        </w:rPr>
        <w:t xml:space="preserve">le volume horaire des enseignements </w:t>
      </w:r>
      <w:r w:rsidR="00573C3D">
        <w:rPr>
          <w:rFonts w:asciiTheme="minorHAnsi" w:hAnsiTheme="minorHAnsi" w:cstheme="minorHAnsi"/>
        </w:rPr>
        <w:t>dispensés</w:t>
      </w:r>
      <w:r w:rsidR="005946AA">
        <w:rPr>
          <w:rFonts w:asciiTheme="minorHAnsi" w:hAnsiTheme="minorHAnsi" w:cstheme="minorHAnsi"/>
        </w:rPr>
        <w:t xml:space="preserve"> </w:t>
      </w:r>
      <w:r w:rsidR="004A69F2">
        <w:rPr>
          <w:rFonts w:asciiTheme="minorHAnsi" w:hAnsiTheme="minorHAnsi" w:cstheme="minorHAnsi"/>
        </w:rPr>
        <w:t xml:space="preserve">à l’institut de démographie </w:t>
      </w:r>
      <w:r w:rsidR="00573C3D">
        <w:rPr>
          <w:rFonts w:asciiTheme="minorHAnsi" w:hAnsiTheme="minorHAnsi" w:cstheme="minorHAnsi"/>
        </w:rPr>
        <w:t>selon</w:t>
      </w:r>
      <w:r w:rsidR="00590AC8">
        <w:rPr>
          <w:rFonts w:asciiTheme="minorHAnsi" w:hAnsiTheme="minorHAnsi" w:cstheme="minorHAnsi"/>
        </w:rPr>
        <w:t xml:space="preserve"> le statut des enseignants est le suivant </w:t>
      </w:r>
      <w:r w:rsidR="00695AF5">
        <w:rPr>
          <w:rFonts w:asciiTheme="minorHAnsi" w:hAnsiTheme="minorHAnsi" w:cstheme="minorHAnsi"/>
        </w:rPr>
        <w:t>(12</w:t>
      </w:r>
      <w:r w:rsidR="00590AC8">
        <w:rPr>
          <w:rFonts w:asciiTheme="minorHAnsi" w:hAnsiTheme="minorHAnsi" w:cstheme="minorHAnsi"/>
        </w:rPr>
        <w:t xml:space="preserve"> h de conférences non comprises) :</w:t>
      </w:r>
    </w:p>
    <w:p w:rsidR="00FB13AD" w:rsidRDefault="00FB13AD" w:rsidP="00590AC8">
      <w:pPr>
        <w:spacing w:before="120"/>
        <w:ind w:firstLine="426"/>
        <w:jc w:val="both"/>
        <w:rPr>
          <w:rFonts w:asciiTheme="minorHAnsi" w:hAnsiTheme="minorHAnsi" w:cstheme="minorHAnsi"/>
        </w:rPr>
      </w:pPr>
    </w:p>
    <w:tbl>
      <w:tblPr>
        <w:tblW w:w="5882" w:type="dxa"/>
        <w:tblInd w:w="1603" w:type="dxa"/>
        <w:tblCellMar>
          <w:left w:w="70" w:type="dxa"/>
          <w:right w:w="70" w:type="dxa"/>
        </w:tblCellMar>
        <w:tblLook w:val="04A0" w:firstRow="1" w:lastRow="0" w:firstColumn="1" w:lastColumn="0" w:noHBand="0" w:noVBand="1"/>
      </w:tblPr>
      <w:tblGrid>
        <w:gridCol w:w="1300"/>
        <w:gridCol w:w="1142"/>
        <w:gridCol w:w="1300"/>
        <w:gridCol w:w="1120"/>
        <w:gridCol w:w="1020"/>
      </w:tblGrid>
      <w:tr w:rsidR="004A69F2" w:rsidRPr="004A69F2" w:rsidTr="004A69F2">
        <w:trPr>
          <w:trHeight w:val="300"/>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A69F2" w:rsidRPr="004A69F2" w:rsidRDefault="004A69F2" w:rsidP="004A69F2">
            <w:pPr>
              <w:jc w:val="center"/>
              <w:rPr>
                <w:rFonts w:eastAsia="Times New Roman" w:cs="Calibri"/>
                <w:b/>
                <w:bCs/>
                <w:color w:val="000000"/>
                <w:sz w:val="20"/>
                <w:szCs w:val="20"/>
                <w:lang w:eastAsia="fr-FR"/>
              </w:rPr>
            </w:pPr>
            <w:r w:rsidRPr="004A69F2">
              <w:rPr>
                <w:rFonts w:eastAsia="Times New Roman" w:cs="Calibri"/>
                <w:b/>
                <w:bCs/>
                <w:color w:val="000000"/>
                <w:sz w:val="20"/>
                <w:szCs w:val="20"/>
                <w:lang w:eastAsia="fr-FR"/>
              </w:rPr>
              <w:t>Formations</w:t>
            </w:r>
          </w:p>
        </w:tc>
        <w:tc>
          <w:tcPr>
            <w:tcW w:w="3562" w:type="dxa"/>
            <w:gridSpan w:val="3"/>
            <w:tcBorders>
              <w:top w:val="single" w:sz="4" w:space="0" w:color="auto"/>
              <w:left w:val="nil"/>
              <w:bottom w:val="single" w:sz="4" w:space="0" w:color="auto"/>
              <w:right w:val="single" w:sz="4" w:space="0" w:color="auto"/>
            </w:tcBorders>
            <w:shd w:val="clear" w:color="auto" w:fill="auto"/>
            <w:noWrap/>
            <w:vAlign w:val="bottom"/>
            <w:hideMark/>
          </w:tcPr>
          <w:p w:rsidR="004A69F2" w:rsidRPr="004A69F2" w:rsidRDefault="004A69F2" w:rsidP="004A69F2">
            <w:pPr>
              <w:jc w:val="center"/>
              <w:rPr>
                <w:rFonts w:eastAsia="Times New Roman" w:cs="Calibri"/>
                <w:color w:val="000000"/>
                <w:sz w:val="20"/>
                <w:szCs w:val="20"/>
                <w:lang w:eastAsia="fr-FR"/>
              </w:rPr>
            </w:pPr>
            <w:r w:rsidRPr="004A69F2">
              <w:rPr>
                <w:rFonts w:eastAsia="Times New Roman" w:cs="Calibri"/>
                <w:color w:val="000000"/>
                <w:sz w:val="20"/>
                <w:szCs w:val="20"/>
                <w:lang w:eastAsia="fr-FR"/>
              </w:rPr>
              <w:t>Enseignants</w:t>
            </w:r>
          </w:p>
        </w:tc>
        <w:tc>
          <w:tcPr>
            <w:tcW w:w="1020" w:type="dxa"/>
            <w:vMerge w:val="restart"/>
            <w:tcBorders>
              <w:top w:val="single" w:sz="4" w:space="0" w:color="auto"/>
              <w:left w:val="single" w:sz="4" w:space="0" w:color="auto"/>
              <w:bottom w:val="single" w:sz="4" w:space="0" w:color="000000"/>
              <w:right w:val="single" w:sz="4" w:space="0" w:color="auto"/>
            </w:tcBorders>
            <w:shd w:val="clear" w:color="000000" w:fill="EEECE1"/>
            <w:noWrap/>
            <w:vAlign w:val="center"/>
            <w:hideMark/>
          </w:tcPr>
          <w:p w:rsidR="004A69F2" w:rsidRPr="004A69F2" w:rsidRDefault="004A69F2" w:rsidP="004A69F2">
            <w:pPr>
              <w:jc w:val="center"/>
              <w:rPr>
                <w:rFonts w:eastAsia="Times New Roman" w:cs="Calibri"/>
                <w:b/>
                <w:bCs/>
                <w:color w:val="000000"/>
                <w:sz w:val="20"/>
                <w:szCs w:val="20"/>
                <w:lang w:eastAsia="fr-FR"/>
              </w:rPr>
            </w:pPr>
            <w:r w:rsidRPr="004A69F2">
              <w:rPr>
                <w:rFonts w:eastAsia="Times New Roman" w:cs="Calibri"/>
                <w:b/>
                <w:bCs/>
                <w:color w:val="000000"/>
                <w:sz w:val="20"/>
                <w:szCs w:val="20"/>
                <w:lang w:eastAsia="fr-FR"/>
              </w:rPr>
              <w:t>TOTAL</w:t>
            </w:r>
          </w:p>
        </w:tc>
      </w:tr>
      <w:tr w:rsidR="004A69F2" w:rsidRPr="004A69F2" w:rsidTr="004A69F2">
        <w:trPr>
          <w:trHeight w:val="570"/>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4A69F2" w:rsidRPr="004A69F2" w:rsidRDefault="004A69F2" w:rsidP="004A69F2">
            <w:pPr>
              <w:rPr>
                <w:rFonts w:eastAsia="Times New Roman" w:cs="Calibri"/>
                <w:b/>
                <w:bCs/>
                <w:color w:val="000000"/>
                <w:sz w:val="20"/>
                <w:szCs w:val="20"/>
                <w:lang w:eastAsia="fr-FR"/>
              </w:rPr>
            </w:pPr>
          </w:p>
        </w:tc>
        <w:tc>
          <w:tcPr>
            <w:tcW w:w="1142" w:type="dxa"/>
            <w:tcBorders>
              <w:top w:val="nil"/>
              <w:left w:val="nil"/>
              <w:bottom w:val="single" w:sz="4" w:space="0" w:color="auto"/>
              <w:right w:val="single" w:sz="4" w:space="0" w:color="auto"/>
            </w:tcBorders>
            <w:shd w:val="clear" w:color="auto" w:fill="auto"/>
            <w:vAlign w:val="center"/>
            <w:hideMark/>
          </w:tcPr>
          <w:p w:rsidR="004A69F2" w:rsidRPr="004A69F2" w:rsidRDefault="004A69F2" w:rsidP="004A69F2">
            <w:pPr>
              <w:jc w:val="center"/>
              <w:rPr>
                <w:rFonts w:eastAsia="Times New Roman" w:cs="Calibri"/>
                <w:color w:val="000000"/>
                <w:sz w:val="20"/>
                <w:szCs w:val="20"/>
                <w:lang w:eastAsia="fr-FR"/>
              </w:rPr>
            </w:pPr>
            <w:r w:rsidRPr="004A69F2">
              <w:rPr>
                <w:rFonts w:eastAsia="Times New Roman" w:cs="Calibri"/>
                <w:color w:val="000000"/>
                <w:sz w:val="20"/>
                <w:szCs w:val="20"/>
                <w:lang w:eastAsia="fr-FR"/>
              </w:rPr>
              <w:t>Faculté SS (mutualisés)</w:t>
            </w:r>
          </w:p>
        </w:tc>
        <w:tc>
          <w:tcPr>
            <w:tcW w:w="1300" w:type="dxa"/>
            <w:tcBorders>
              <w:top w:val="nil"/>
              <w:left w:val="nil"/>
              <w:bottom w:val="single" w:sz="4" w:space="0" w:color="auto"/>
              <w:right w:val="single" w:sz="4" w:space="0" w:color="auto"/>
            </w:tcBorders>
            <w:shd w:val="clear" w:color="auto" w:fill="auto"/>
            <w:vAlign w:val="center"/>
            <w:hideMark/>
          </w:tcPr>
          <w:p w:rsidR="004A69F2" w:rsidRPr="004A69F2" w:rsidRDefault="004A69F2" w:rsidP="004A69F2">
            <w:pPr>
              <w:jc w:val="center"/>
              <w:rPr>
                <w:rFonts w:eastAsia="Times New Roman" w:cs="Calibri"/>
                <w:color w:val="000000"/>
                <w:sz w:val="20"/>
                <w:szCs w:val="20"/>
                <w:lang w:eastAsia="fr-FR"/>
              </w:rPr>
            </w:pPr>
            <w:r w:rsidRPr="004A69F2">
              <w:rPr>
                <w:rFonts w:eastAsia="Times New Roman" w:cs="Calibri"/>
                <w:color w:val="000000"/>
                <w:sz w:val="20"/>
                <w:szCs w:val="20"/>
                <w:lang w:eastAsia="fr-FR"/>
              </w:rPr>
              <w:t>Institut démo</w:t>
            </w:r>
          </w:p>
        </w:tc>
        <w:tc>
          <w:tcPr>
            <w:tcW w:w="1120" w:type="dxa"/>
            <w:tcBorders>
              <w:top w:val="nil"/>
              <w:left w:val="nil"/>
              <w:bottom w:val="single" w:sz="4" w:space="0" w:color="auto"/>
              <w:right w:val="single" w:sz="4" w:space="0" w:color="auto"/>
            </w:tcBorders>
            <w:shd w:val="clear" w:color="auto" w:fill="auto"/>
            <w:vAlign w:val="center"/>
            <w:hideMark/>
          </w:tcPr>
          <w:p w:rsidR="004A69F2" w:rsidRPr="004A69F2" w:rsidRDefault="004A69F2" w:rsidP="004A69F2">
            <w:pPr>
              <w:jc w:val="center"/>
              <w:rPr>
                <w:rFonts w:eastAsia="Times New Roman" w:cs="Calibri"/>
                <w:color w:val="000000"/>
                <w:sz w:val="20"/>
                <w:szCs w:val="20"/>
                <w:lang w:eastAsia="fr-FR"/>
              </w:rPr>
            </w:pPr>
            <w:proofErr w:type="spellStart"/>
            <w:r w:rsidRPr="004A69F2">
              <w:rPr>
                <w:rFonts w:eastAsia="Times New Roman" w:cs="Calibri"/>
                <w:color w:val="000000"/>
                <w:sz w:val="20"/>
                <w:szCs w:val="20"/>
                <w:lang w:eastAsia="fr-FR"/>
              </w:rPr>
              <w:t>Interv</w:t>
            </w:r>
            <w:proofErr w:type="spellEnd"/>
            <w:r w:rsidRPr="004A69F2">
              <w:rPr>
                <w:rFonts w:eastAsia="Times New Roman" w:cs="Calibri"/>
                <w:color w:val="000000"/>
                <w:sz w:val="20"/>
                <w:szCs w:val="20"/>
                <w:lang w:eastAsia="fr-FR"/>
              </w:rPr>
              <w:t xml:space="preserve">. </w:t>
            </w:r>
            <w:proofErr w:type="spellStart"/>
            <w:r w:rsidRPr="004A69F2">
              <w:rPr>
                <w:rFonts w:eastAsia="Times New Roman" w:cs="Calibri"/>
                <w:color w:val="000000"/>
                <w:sz w:val="20"/>
                <w:szCs w:val="20"/>
                <w:lang w:eastAsia="fr-FR"/>
              </w:rPr>
              <w:t>ext</w:t>
            </w:r>
            <w:proofErr w:type="spellEnd"/>
            <w:r w:rsidRPr="004A69F2">
              <w:rPr>
                <w:rFonts w:eastAsia="Times New Roman" w:cs="Calibri"/>
                <w:color w:val="000000"/>
                <w:sz w:val="20"/>
                <w:szCs w:val="20"/>
                <w:lang w:eastAsia="fr-FR"/>
              </w:rPr>
              <w:t>.</w:t>
            </w: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4A69F2" w:rsidRPr="004A69F2" w:rsidRDefault="004A69F2" w:rsidP="004A69F2">
            <w:pPr>
              <w:rPr>
                <w:rFonts w:eastAsia="Times New Roman" w:cs="Calibri"/>
                <w:b/>
                <w:bCs/>
                <w:color w:val="000000"/>
                <w:sz w:val="18"/>
                <w:szCs w:val="18"/>
                <w:lang w:eastAsia="fr-FR"/>
              </w:rPr>
            </w:pPr>
          </w:p>
        </w:tc>
      </w:tr>
      <w:tr w:rsidR="004A69F2" w:rsidRPr="004A69F2" w:rsidTr="004A69F2">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A69F2" w:rsidRPr="004A69F2" w:rsidRDefault="004A69F2" w:rsidP="004A69F2">
            <w:pPr>
              <w:jc w:val="center"/>
              <w:rPr>
                <w:rFonts w:eastAsia="Times New Roman" w:cs="Calibri"/>
                <w:color w:val="000000"/>
                <w:sz w:val="20"/>
                <w:szCs w:val="20"/>
                <w:lang w:eastAsia="fr-FR"/>
              </w:rPr>
            </w:pPr>
            <w:r w:rsidRPr="004A69F2">
              <w:rPr>
                <w:rFonts w:eastAsia="Times New Roman" w:cs="Calibri"/>
                <w:color w:val="000000"/>
                <w:sz w:val="20"/>
                <w:szCs w:val="20"/>
                <w:lang w:eastAsia="fr-FR"/>
              </w:rPr>
              <w:t>L5</w:t>
            </w:r>
          </w:p>
        </w:tc>
        <w:tc>
          <w:tcPr>
            <w:tcW w:w="1142" w:type="dxa"/>
            <w:tcBorders>
              <w:top w:val="nil"/>
              <w:left w:val="nil"/>
              <w:bottom w:val="single" w:sz="4" w:space="0" w:color="auto"/>
              <w:right w:val="single" w:sz="4" w:space="0" w:color="auto"/>
            </w:tcBorders>
            <w:shd w:val="clear" w:color="auto" w:fill="auto"/>
            <w:noWrap/>
            <w:vAlign w:val="center"/>
            <w:hideMark/>
          </w:tcPr>
          <w:p w:rsidR="004A69F2" w:rsidRPr="004A69F2" w:rsidRDefault="004A69F2" w:rsidP="004A69F2">
            <w:pPr>
              <w:jc w:val="center"/>
              <w:rPr>
                <w:rFonts w:eastAsia="Times New Roman" w:cs="Calibri"/>
                <w:color w:val="000000"/>
                <w:sz w:val="18"/>
                <w:szCs w:val="18"/>
                <w:lang w:eastAsia="fr-FR"/>
              </w:rPr>
            </w:pPr>
            <w:r w:rsidRPr="004A69F2">
              <w:rPr>
                <w:rFonts w:eastAsia="Times New Roman" w:cs="Calibri"/>
                <w:color w:val="000000"/>
                <w:sz w:val="18"/>
                <w:szCs w:val="18"/>
                <w:lang w:eastAsia="fr-FR"/>
              </w:rPr>
              <w:t>180</w:t>
            </w:r>
          </w:p>
        </w:tc>
        <w:tc>
          <w:tcPr>
            <w:tcW w:w="1300" w:type="dxa"/>
            <w:tcBorders>
              <w:top w:val="nil"/>
              <w:left w:val="nil"/>
              <w:bottom w:val="single" w:sz="4" w:space="0" w:color="auto"/>
              <w:right w:val="single" w:sz="4" w:space="0" w:color="auto"/>
            </w:tcBorders>
            <w:shd w:val="clear" w:color="auto" w:fill="auto"/>
            <w:noWrap/>
            <w:vAlign w:val="center"/>
            <w:hideMark/>
          </w:tcPr>
          <w:p w:rsidR="004A69F2" w:rsidRPr="004A69F2" w:rsidRDefault="004A69F2" w:rsidP="004A69F2">
            <w:pPr>
              <w:jc w:val="center"/>
              <w:rPr>
                <w:rFonts w:eastAsia="Times New Roman" w:cs="Calibri"/>
                <w:color w:val="000000"/>
                <w:sz w:val="18"/>
                <w:szCs w:val="18"/>
                <w:lang w:eastAsia="fr-FR"/>
              </w:rPr>
            </w:pPr>
            <w:r w:rsidRPr="004A69F2">
              <w:rPr>
                <w:rFonts w:eastAsia="Times New Roman" w:cs="Calibri"/>
                <w:color w:val="000000"/>
                <w:sz w:val="18"/>
                <w:szCs w:val="18"/>
                <w:lang w:eastAsia="fr-FR"/>
              </w:rPr>
              <w:t>75</w:t>
            </w:r>
          </w:p>
        </w:tc>
        <w:tc>
          <w:tcPr>
            <w:tcW w:w="1120" w:type="dxa"/>
            <w:tcBorders>
              <w:top w:val="nil"/>
              <w:left w:val="nil"/>
              <w:bottom w:val="single" w:sz="4" w:space="0" w:color="auto"/>
              <w:right w:val="single" w:sz="4" w:space="0" w:color="auto"/>
            </w:tcBorders>
            <w:shd w:val="clear" w:color="auto" w:fill="auto"/>
            <w:noWrap/>
            <w:vAlign w:val="center"/>
            <w:hideMark/>
          </w:tcPr>
          <w:p w:rsidR="004A69F2" w:rsidRPr="004A69F2" w:rsidRDefault="004A69F2" w:rsidP="004A69F2">
            <w:pPr>
              <w:jc w:val="center"/>
              <w:rPr>
                <w:rFonts w:eastAsia="Times New Roman" w:cs="Calibri"/>
                <w:color w:val="000000"/>
                <w:sz w:val="18"/>
                <w:szCs w:val="18"/>
                <w:lang w:eastAsia="fr-FR"/>
              </w:rPr>
            </w:pPr>
            <w:r w:rsidRPr="004A69F2">
              <w:rPr>
                <w:rFonts w:eastAsia="Times New Roman" w:cs="Calibri"/>
                <w:color w:val="000000"/>
                <w:sz w:val="18"/>
                <w:szCs w:val="18"/>
                <w:lang w:eastAsia="fr-FR"/>
              </w:rPr>
              <w:t>18</w:t>
            </w:r>
          </w:p>
        </w:tc>
        <w:tc>
          <w:tcPr>
            <w:tcW w:w="1020" w:type="dxa"/>
            <w:tcBorders>
              <w:top w:val="nil"/>
              <w:left w:val="nil"/>
              <w:bottom w:val="single" w:sz="4" w:space="0" w:color="auto"/>
              <w:right w:val="single" w:sz="4" w:space="0" w:color="auto"/>
            </w:tcBorders>
            <w:shd w:val="clear" w:color="000000" w:fill="EEECE1"/>
            <w:noWrap/>
            <w:vAlign w:val="center"/>
            <w:hideMark/>
          </w:tcPr>
          <w:p w:rsidR="004A69F2" w:rsidRPr="004A69F2" w:rsidRDefault="004A69F2" w:rsidP="004A69F2">
            <w:pPr>
              <w:jc w:val="center"/>
              <w:rPr>
                <w:rFonts w:eastAsia="Times New Roman" w:cs="Calibri"/>
                <w:b/>
                <w:bCs/>
                <w:color w:val="000000"/>
                <w:sz w:val="18"/>
                <w:szCs w:val="18"/>
                <w:lang w:eastAsia="fr-FR"/>
              </w:rPr>
            </w:pPr>
            <w:r w:rsidRPr="004A69F2">
              <w:rPr>
                <w:rFonts w:eastAsia="Times New Roman" w:cs="Calibri"/>
                <w:b/>
                <w:bCs/>
                <w:color w:val="000000"/>
                <w:sz w:val="18"/>
                <w:szCs w:val="18"/>
                <w:lang w:eastAsia="fr-FR"/>
              </w:rPr>
              <w:t>273</w:t>
            </w:r>
          </w:p>
        </w:tc>
      </w:tr>
      <w:tr w:rsidR="004A69F2" w:rsidRPr="004A69F2" w:rsidTr="004A69F2">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A69F2" w:rsidRPr="004A69F2" w:rsidRDefault="004A69F2" w:rsidP="004A69F2">
            <w:pPr>
              <w:jc w:val="center"/>
              <w:rPr>
                <w:rFonts w:eastAsia="Times New Roman" w:cs="Calibri"/>
                <w:color w:val="000000"/>
                <w:sz w:val="20"/>
                <w:szCs w:val="20"/>
                <w:lang w:eastAsia="fr-FR"/>
              </w:rPr>
            </w:pPr>
            <w:r w:rsidRPr="004A69F2">
              <w:rPr>
                <w:rFonts w:eastAsia="Times New Roman" w:cs="Calibri"/>
                <w:color w:val="000000"/>
                <w:sz w:val="20"/>
                <w:szCs w:val="20"/>
                <w:lang w:eastAsia="fr-FR"/>
              </w:rPr>
              <w:t>L6</w:t>
            </w:r>
          </w:p>
        </w:tc>
        <w:tc>
          <w:tcPr>
            <w:tcW w:w="1142" w:type="dxa"/>
            <w:tcBorders>
              <w:top w:val="nil"/>
              <w:left w:val="nil"/>
              <w:bottom w:val="single" w:sz="4" w:space="0" w:color="auto"/>
              <w:right w:val="single" w:sz="4" w:space="0" w:color="auto"/>
            </w:tcBorders>
            <w:shd w:val="clear" w:color="auto" w:fill="auto"/>
            <w:noWrap/>
            <w:vAlign w:val="center"/>
            <w:hideMark/>
          </w:tcPr>
          <w:p w:rsidR="004A69F2" w:rsidRPr="004A69F2" w:rsidRDefault="004A69F2" w:rsidP="004A69F2">
            <w:pPr>
              <w:jc w:val="center"/>
              <w:rPr>
                <w:rFonts w:eastAsia="Times New Roman" w:cs="Calibri"/>
                <w:color w:val="000000"/>
                <w:sz w:val="18"/>
                <w:szCs w:val="18"/>
                <w:lang w:eastAsia="fr-FR"/>
              </w:rPr>
            </w:pPr>
            <w:r w:rsidRPr="004A69F2">
              <w:rPr>
                <w:rFonts w:eastAsia="Times New Roman" w:cs="Calibri"/>
                <w:color w:val="000000"/>
                <w:sz w:val="18"/>
                <w:szCs w:val="18"/>
                <w:lang w:eastAsia="fr-FR"/>
              </w:rPr>
              <w:t>84</w:t>
            </w:r>
          </w:p>
        </w:tc>
        <w:tc>
          <w:tcPr>
            <w:tcW w:w="1300" w:type="dxa"/>
            <w:tcBorders>
              <w:top w:val="nil"/>
              <w:left w:val="nil"/>
              <w:bottom w:val="single" w:sz="4" w:space="0" w:color="auto"/>
              <w:right w:val="single" w:sz="4" w:space="0" w:color="auto"/>
            </w:tcBorders>
            <w:shd w:val="clear" w:color="auto" w:fill="auto"/>
            <w:noWrap/>
            <w:vAlign w:val="center"/>
            <w:hideMark/>
          </w:tcPr>
          <w:p w:rsidR="004A69F2" w:rsidRPr="004A69F2" w:rsidRDefault="004A69F2" w:rsidP="004A69F2">
            <w:pPr>
              <w:jc w:val="center"/>
              <w:rPr>
                <w:rFonts w:eastAsia="Times New Roman" w:cs="Calibri"/>
                <w:color w:val="000000"/>
                <w:sz w:val="18"/>
                <w:szCs w:val="18"/>
                <w:lang w:eastAsia="fr-FR"/>
              </w:rPr>
            </w:pPr>
            <w:r w:rsidRPr="004A69F2">
              <w:rPr>
                <w:rFonts w:eastAsia="Times New Roman" w:cs="Calibri"/>
                <w:color w:val="000000"/>
                <w:sz w:val="18"/>
                <w:szCs w:val="18"/>
                <w:lang w:eastAsia="fr-FR"/>
              </w:rPr>
              <w:t>127</w:t>
            </w:r>
          </w:p>
        </w:tc>
        <w:tc>
          <w:tcPr>
            <w:tcW w:w="1120" w:type="dxa"/>
            <w:tcBorders>
              <w:top w:val="nil"/>
              <w:left w:val="nil"/>
              <w:bottom w:val="single" w:sz="4" w:space="0" w:color="auto"/>
              <w:right w:val="single" w:sz="4" w:space="0" w:color="auto"/>
            </w:tcBorders>
            <w:shd w:val="clear" w:color="auto" w:fill="auto"/>
            <w:noWrap/>
            <w:vAlign w:val="center"/>
            <w:hideMark/>
          </w:tcPr>
          <w:p w:rsidR="004A69F2" w:rsidRPr="004A69F2" w:rsidRDefault="004A69F2" w:rsidP="004A69F2">
            <w:pPr>
              <w:jc w:val="center"/>
              <w:rPr>
                <w:rFonts w:eastAsia="Times New Roman" w:cs="Calibri"/>
                <w:color w:val="000000"/>
                <w:sz w:val="18"/>
                <w:szCs w:val="18"/>
                <w:lang w:eastAsia="fr-FR"/>
              </w:rPr>
            </w:pPr>
            <w:r w:rsidRPr="004A69F2">
              <w:rPr>
                <w:rFonts w:eastAsia="Times New Roman" w:cs="Calibri"/>
                <w:color w:val="000000"/>
                <w:sz w:val="18"/>
                <w:szCs w:val="18"/>
                <w:lang w:eastAsia="fr-FR"/>
              </w:rPr>
              <w:t>18</w:t>
            </w:r>
          </w:p>
        </w:tc>
        <w:tc>
          <w:tcPr>
            <w:tcW w:w="1020" w:type="dxa"/>
            <w:tcBorders>
              <w:top w:val="nil"/>
              <w:left w:val="nil"/>
              <w:bottom w:val="single" w:sz="4" w:space="0" w:color="auto"/>
              <w:right w:val="single" w:sz="4" w:space="0" w:color="auto"/>
            </w:tcBorders>
            <w:shd w:val="clear" w:color="000000" w:fill="EEECE1"/>
            <w:noWrap/>
            <w:vAlign w:val="center"/>
            <w:hideMark/>
          </w:tcPr>
          <w:p w:rsidR="004A69F2" w:rsidRPr="004A69F2" w:rsidRDefault="004A69F2" w:rsidP="004A69F2">
            <w:pPr>
              <w:jc w:val="center"/>
              <w:rPr>
                <w:rFonts w:eastAsia="Times New Roman" w:cs="Calibri"/>
                <w:b/>
                <w:bCs/>
                <w:color w:val="000000"/>
                <w:sz w:val="18"/>
                <w:szCs w:val="18"/>
                <w:lang w:eastAsia="fr-FR"/>
              </w:rPr>
            </w:pPr>
            <w:r w:rsidRPr="004A69F2">
              <w:rPr>
                <w:rFonts w:eastAsia="Times New Roman" w:cs="Calibri"/>
                <w:b/>
                <w:bCs/>
                <w:color w:val="000000"/>
                <w:sz w:val="18"/>
                <w:szCs w:val="18"/>
                <w:lang w:eastAsia="fr-FR"/>
              </w:rPr>
              <w:t>229</w:t>
            </w:r>
          </w:p>
        </w:tc>
      </w:tr>
      <w:tr w:rsidR="004A69F2" w:rsidRPr="004A69F2" w:rsidTr="004A69F2">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A69F2" w:rsidRPr="004A69F2" w:rsidRDefault="004A69F2" w:rsidP="004A69F2">
            <w:pPr>
              <w:rPr>
                <w:rFonts w:eastAsia="Times New Roman" w:cs="Calibri"/>
                <w:b/>
                <w:bCs/>
                <w:color w:val="808080"/>
                <w:sz w:val="20"/>
                <w:szCs w:val="20"/>
                <w:lang w:eastAsia="fr-FR"/>
              </w:rPr>
            </w:pPr>
            <w:r w:rsidRPr="004A69F2">
              <w:rPr>
                <w:rFonts w:eastAsia="Times New Roman" w:cs="Calibri"/>
                <w:b/>
                <w:bCs/>
                <w:color w:val="808080"/>
                <w:sz w:val="20"/>
                <w:szCs w:val="20"/>
                <w:lang w:eastAsia="fr-FR"/>
              </w:rPr>
              <w:t>Total licence</w:t>
            </w:r>
          </w:p>
        </w:tc>
        <w:tc>
          <w:tcPr>
            <w:tcW w:w="1142" w:type="dxa"/>
            <w:tcBorders>
              <w:top w:val="nil"/>
              <w:left w:val="nil"/>
              <w:bottom w:val="single" w:sz="4" w:space="0" w:color="auto"/>
              <w:right w:val="single" w:sz="4" w:space="0" w:color="auto"/>
            </w:tcBorders>
            <w:shd w:val="clear" w:color="auto" w:fill="auto"/>
            <w:noWrap/>
            <w:vAlign w:val="center"/>
            <w:hideMark/>
          </w:tcPr>
          <w:p w:rsidR="004A69F2" w:rsidRPr="004A69F2" w:rsidRDefault="004A69F2" w:rsidP="004A69F2">
            <w:pPr>
              <w:jc w:val="right"/>
              <w:rPr>
                <w:rFonts w:eastAsia="Times New Roman" w:cs="Calibri"/>
                <w:b/>
                <w:bCs/>
                <w:color w:val="808080"/>
                <w:sz w:val="18"/>
                <w:szCs w:val="18"/>
                <w:lang w:eastAsia="fr-FR"/>
              </w:rPr>
            </w:pPr>
            <w:r w:rsidRPr="004A69F2">
              <w:rPr>
                <w:rFonts w:eastAsia="Times New Roman" w:cs="Calibri"/>
                <w:b/>
                <w:bCs/>
                <w:color w:val="808080"/>
                <w:sz w:val="18"/>
                <w:szCs w:val="18"/>
                <w:lang w:eastAsia="fr-FR"/>
              </w:rPr>
              <w:t>264</w:t>
            </w:r>
          </w:p>
        </w:tc>
        <w:tc>
          <w:tcPr>
            <w:tcW w:w="1300" w:type="dxa"/>
            <w:tcBorders>
              <w:top w:val="nil"/>
              <w:left w:val="nil"/>
              <w:bottom w:val="single" w:sz="4" w:space="0" w:color="auto"/>
              <w:right w:val="single" w:sz="4" w:space="0" w:color="auto"/>
            </w:tcBorders>
            <w:shd w:val="clear" w:color="auto" w:fill="auto"/>
            <w:noWrap/>
            <w:vAlign w:val="center"/>
            <w:hideMark/>
          </w:tcPr>
          <w:p w:rsidR="004A69F2" w:rsidRPr="004A69F2" w:rsidRDefault="004A69F2" w:rsidP="004A69F2">
            <w:pPr>
              <w:jc w:val="right"/>
              <w:rPr>
                <w:rFonts w:eastAsia="Times New Roman" w:cs="Calibri"/>
                <w:b/>
                <w:bCs/>
                <w:color w:val="808080"/>
                <w:sz w:val="18"/>
                <w:szCs w:val="18"/>
                <w:lang w:eastAsia="fr-FR"/>
              </w:rPr>
            </w:pPr>
            <w:r w:rsidRPr="004A69F2">
              <w:rPr>
                <w:rFonts w:eastAsia="Times New Roman" w:cs="Calibri"/>
                <w:b/>
                <w:bCs/>
                <w:color w:val="808080"/>
                <w:sz w:val="18"/>
                <w:szCs w:val="18"/>
                <w:lang w:eastAsia="fr-FR"/>
              </w:rPr>
              <w:t>202</w:t>
            </w:r>
          </w:p>
        </w:tc>
        <w:tc>
          <w:tcPr>
            <w:tcW w:w="1120" w:type="dxa"/>
            <w:tcBorders>
              <w:top w:val="nil"/>
              <w:left w:val="nil"/>
              <w:bottom w:val="single" w:sz="4" w:space="0" w:color="auto"/>
              <w:right w:val="single" w:sz="4" w:space="0" w:color="auto"/>
            </w:tcBorders>
            <w:shd w:val="clear" w:color="auto" w:fill="auto"/>
            <w:noWrap/>
            <w:vAlign w:val="center"/>
            <w:hideMark/>
          </w:tcPr>
          <w:p w:rsidR="004A69F2" w:rsidRPr="004A69F2" w:rsidRDefault="004A69F2" w:rsidP="004A69F2">
            <w:pPr>
              <w:jc w:val="right"/>
              <w:rPr>
                <w:rFonts w:eastAsia="Times New Roman" w:cs="Calibri"/>
                <w:b/>
                <w:bCs/>
                <w:color w:val="808080"/>
                <w:sz w:val="18"/>
                <w:szCs w:val="18"/>
                <w:lang w:eastAsia="fr-FR"/>
              </w:rPr>
            </w:pPr>
            <w:r w:rsidRPr="004A69F2">
              <w:rPr>
                <w:rFonts w:eastAsia="Times New Roman" w:cs="Calibri"/>
                <w:b/>
                <w:bCs/>
                <w:color w:val="808080"/>
                <w:sz w:val="18"/>
                <w:szCs w:val="18"/>
                <w:lang w:eastAsia="fr-FR"/>
              </w:rPr>
              <w:t>36</w:t>
            </w:r>
          </w:p>
        </w:tc>
        <w:tc>
          <w:tcPr>
            <w:tcW w:w="1020" w:type="dxa"/>
            <w:tcBorders>
              <w:top w:val="nil"/>
              <w:left w:val="nil"/>
              <w:bottom w:val="single" w:sz="4" w:space="0" w:color="auto"/>
              <w:right w:val="single" w:sz="4" w:space="0" w:color="auto"/>
            </w:tcBorders>
            <w:shd w:val="clear" w:color="000000" w:fill="EEECE1"/>
            <w:noWrap/>
            <w:vAlign w:val="center"/>
            <w:hideMark/>
          </w:tcPr>
          <w:p w:rsidR="004A69F2" w:rsidRPr="004A69F2" w:rsidRDefault="004A69F2" w:rsidP="004A69F2">
            <w:pPr>
              <w:jc w:val="right"/>
              <w:rPr>
                <w:rFonts w:eastAsia="Times New Roman" w:cs="Calibri"/>
                <w:b/>
                <w:bCs/>
                <w:color w:val="808080"/>
                <w:sz w:val="18"/>
                <w:szCs w:val="18"/>
                <w:lang w:eastAsia="fr-FR"/>
              </w:rPr>
            </w:pPr>
            <w:r w:rsidRPr="004A69F2">
              <w:rPr>
                <w:rFonts w:eastAsia="Times New Roman" w:cs="Calibri"/>
                <w:b/>
                <w:bCs/>
                <w:color w:val="808080"/>
                <w:sz w:val="18"/>
                <w:szCs w:val="18"/>
                <w:lang w:eastAsia="fr-FR"/>
              </w:rPr>
              <w:t>502</w:t>
            </w:r>
          </w:p>
        </w:tc>
      </w:tr>
      <w:tr w:rsidR="004A69F2" w:rsidRPr="004A69F2" w:rsidTr="004A69F2">
        <w:trPr>
          <w:trHeight w:val="420"/>
        </w:trPr>
        <w:tc>
          <w:tcPr>
            <w:tcW w:w="1300" w:type="dxa"/>
            <w:tcBorders>
              <w:top w:val="nil"/>
              <w:left w:val="nil"/>
              <w:bottom w:val="nil"/>
              <w:right w:val="nil"/>
            </w:tcBorders>
            <w:shd w:val="clear" w:color="auto" w:fill="auto"/>
            <w:noWrap/>
            <w:vAlign w:val="bottom"/>
            <w:hideMark/>
          </w:tcPr>
          <w:p w:rsidR="004A69F2" w:rsidRPr="004A69F2" w:rsidRDefault="004A69F2" w:rsidP="004A69F2">
            <w:pPr>
              <w:rPr>
                <w:rFonts w:eastAsia="Times New Roman" w:cs="Calibri"/>
                <w:color w:val="000000"/>
                <w:sz w:val="20"/>
                <w:szCs w:val="20"/>
                <w:lang w:eastAsia="fr-FR"/>
              </w:rPr>
            </w:pPr>
          </w:p>
        </w:tc>
        <w:tc>
          <w:tcPr>
            <w:tcW w:w="1142" w:type="dxa"/>
            <w:tcBorders>
              <w:top w:val="nil"/>
              <w:left w:val="nil"/>
              <w:bottom w:val="nil"/>
              <w:right w:val="nil"/>
            </w:tcBorders>
            <w:shd w:val="clear" w:color="auto" w:fill="auto"/>
            <w:noWrap/>
            <w:vAlign w:val="center"/>
            <w:hideMark/>
          </w:tcPr>
          <w:p w:rsidR="004A69F2" w:rsidRPr="004A69F2" w:rsidRDefault="004A69F2" w:rsidP="004A69F2">
            <w:pPr>
              <w:jc w:val="center"/>
              <w:rPr>
                <w:rFonts w:eastAsia="Times New Roman" w:cs="Calibri"/>
                <w:color w:val="000000"/>
                <w:sz w:val="18"/>
                <w:szCs w:val="18"/>
                <w:lang w:eastAsia="fr-FR"/>
              </w:rPr>
            </w:pPr>
          </w:p>
        </w:tc>
        <w:tc>
          <w:tcPr>
            <w:tcW w:w="1300" w:type="dxa"/>
            <w:tcBorders>
              <w:top w:val="nil"/>
              <w:left w:val="nil"/>
              <w:bottom w:val="nil"/>
              <w:right w:val="nil"/>
            </w:tcBorders>
            <w:shd w:val="clear" w:color="auto" w:fill="auto"/>
            <w:noWrap/>
            <w:vAlign w:val="center"/>
            <w:hideMark/>
          </w:tcPr>
          <w:p w:rsidR="004A69F2" w:rsidRPr="004A69F2" w:rsidRDefault="004A69F2" w:rsidP="004A69F2">
            <w:pPr>
              <w:jc w:val="center"/>
              <w:rPr>
                <w:rFonts w:eastAsia="Times New Roman" w:cs="Calibri"/>
                <w:color w:val="000000"/>
                <w:sz w:val="18"/>
                <w:szCs w:val="18"/>
                <w:lang w:eastAsia="fr-FR"/>
              </w:rPr>
            </w:pPr>
          </w:p>
        </w:tc>
        <w:tc>
          <w:tcPr>
            <w:tcW w:w="1120" w:type="dxa"/>
            <w:tcBorders>
              <w:top w:val="nil"/>
              <w:left w:val="nil"/>
              <w:bottom w:val="nil"/>
              <w:right w:val="nil"/>
            </w:tcBorders>
            <w:shd w:val="clear" w:color="auto" w:fill="auto"/>
            <w:noWrap/>
            <w:vAlign w:val="center"/>
            <w:hideMark/>
          </w:tcPr>
          <w:p w:rsidR="004A69F2" w:rsidRPr="004A69F2" w:rsidRDefault="004A69F2" w:rsidP="004A69F2">
            <w:pPr>
              <w:jc w:val="center"/>
              <w:rPr>
                <w:rFonts w:eastAsia="Times New Roman" w:cs="Calibri"/>
                <w:color w:val="000000"/>
                <w:sz w:val="18"/>
                <w:szCs w:val="18"/>
                <w:lang w:eastAsia="fr-FR"/>
              </w:rPr>
            </w:pPr>
          </w:p>
        </w:tc>
        <w:tc>
          <w:tcPr>
            <w:tcW w:w="1020" w:type="dxa"/>
            <w:tcBorders>
              <w:top w:val="nil"/>
              <w:left w:val="nil"/>
              <w:bottom w:val="nil"/>
              <w:right w:val="nil"/>
            </w:tcBorders>
            <w:shd w:val="clear" w:color="auto" w:fill="auto"/>
            <w:noWrap/>
            <w:vAlign w:val="center"/>
            <w:hideMark/>
          </w:tcPr>
          <w:p w:rsidR="004A69F2" w:rsidRPr="004A69F2" w:rsidRDefault="004A69F2" w:rsidP="004A69F2">
            <w:pPr>
              <w:jc w:val="center"/>
              <w:rPr>
                <w:rFonts w:eastAsia="Times New Roman" w:cs="Calibri"/>
                <w:b/>
                <w:bCs/>
                <w:color w:val="000000"/>
                <w:sz w:val="18"/>
                <w:szCs w:val="18"/>
                <w:lang w:eastAsia="fr-FR"/>
              </w:rPr>
            </w:pPr>
          </w:p>
        </w:tc>
      </w:tr>
      <w:tr w:rsidR="004A69F2" w:rsidRPr="004A69F2" w:rsidTr="004A69F2">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69F2" w:rsidRPr="004A69F2" w:rsidRDefault="004A69F2" w:rsidP="004A69F2">
            <w:pPr>
              <w:jc w:val="center"/>
              <w:rPr>
                <w:rFonts w:eastAsia="Times New Roman" w:cs="Calibri"/>
                <w:color w:val="000000"/>
                <w:sz w:val="20"/>
                <w:szCs w:val="20"/>
                <w:lang w:eastAsia="fr-FR"/>
              </w:rPr>
            </w:pPr>
            <w:r w:rsidRPr="004A69F2">
              <w:rPr>
                <w:rFonts w:eastAsia="Times New Roman" w:cs="Calibri"/>
                <w:color w:val="000000"/>
                <w:sz w:val="20"/>
                <w:szCs w:val="20"/>
                <w:lang w:eastAsia="fr-FR"/>
              </w:rPr>
              <w:t>M1</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rsidR="004A69F2" w:rsidRPr="004A69F2" w:rsidRDefault="004A69F2" w:rsidP="004A69F2">
            <w:pPr>
              <w:jc w:val="center"/>
              <w:rPr>
                <w:rFonts w:eastAsia="Times New Roman" w:cs="Calibri"/>
                <w:color w:val="000000"/>
                <w:sz w:val="18"/>
                <w:szCs w:val="18"/>
                <w:lang w:eastAsia="fr-FR"/>
              </w:rPr>
            </w:pPr>
            <w:r w:rsidRPr="004A69F2">
              <w:rPr>
                <w:rFonts w:eastAsia="Times New Roman" w:cs="Calibri"/>
                <w:color w:val="000000"/>
                <w:sz w:val="18"/>
                <w:szCs w:val="18"/>
                <w:lang w:eastAsia="fr-FR"/>
              </w:rPr>
              <w:t>99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4A69F2" w:rsidRPr="004A69F2" w:rsidRDefault="004A69F2" w:rsidP="004A69F2">
            <w:pPr>
              <w:jc w:val="center"/>
              <w:rPr>
                <w:rFonts w:eastAsia="Times New Roman" w:cs="Calibri"/>
                <w:color w:val="000000"/>
                <w:sz w:val="18"/>
                <w:szCs w:val="18"/>
                <w:lang w:eastAsia="fr-FR"/>
              </w:rPr>
            </w:pPr>
            <w:r w:rsidRPr="004A69F2">
              <w:rPr>
                <w:rFonts w:eastAsia="Times New Roman" w:cs="Calibri"/>
                <w:color w:val="000000"/>
                <w:sz w:val="18"/>
                <w:szCs w:val="18"/>
                <w:lang w:eastAsia="fr-FR"/>
              </w:rPr>
              <w:t>114</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4A69F2" w:rsidRPr="004A69F2" w:rsidRDefault="004A69F2" w:rsidP="004A69F2">
            <w:pPr>
              <w:jc w:val="center"/>
              <w:rPr>
                <w:rFonts w:eastAsia="Times New Roman" w:cs="Calibri"/>
                <w:color w:val="000000"/>
                <w:sz w:val="18"/>
                <w:szCs w:val="18"/>
                <w:lang w:eastAsia="fr-FR"/>
              </w:rPr>
            </w:pPr>
            <w:r w:rsidRPr="004A69F2">
              <w:rPr>
                <w:rFonts w:eastAsia="Times New Roman" w:cs="Calibri"/>
                <w:color w:val="000000"/>
                <w:sz w:val="18"/>
                <w:szCs w:val="18"/>
                <w:lang w:eastAsia="fr-FR"/>
              </w:rPr>
              <w:t>96</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4A69F2" w:rsidRPr="004A69F2" w:rsidRDefault="004A69F2" w:rsidP="004A69F2">
            <w:pPr>
              <w:jc w:val="center"/>
              <w:rPr>
                <w:rFonts w:eastAsia="Times New Roman" w:cs="Calibri"/>
                <w:b/>
                <w:bCs/>
                <w:color w:val="000000"/>
                <w:sz w:val="18"/>
                <w:szCs w:val="18"/>
                <w:lang w:eastAsia="fr-FR"/>
              </w:rPr>
            </w:pPr>
            <w:r w:rsidRPr="004A69F2">
              <w:rPr>
                <w:rFonts w:eastAsia="Times New Roman" w:cs="Calibri"/>
                <w:b/>
                <w:bCs/>
                <w:color w:val="000000"/>
                <w:sz w:val="18"/>
                <w:szCs w:val="18"/>
                <w:lang w:eastAsia="fr-FR"/>
              </w:rPr>
              <w:t>309</w:t>
            </w:r>
          </w:p>
        </w:tc>
      </w:tr>
      <w:tr w:rsidR="004A69F2" w:rsidRPr="004A69F2" w:rsidTr="004A69F2">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A69F2" w:rsidRPr="004A69F2" w:rsidRDefault="004A69F2" w:rsidP="004A69F2">
            <w:pPr>
              <w:jc w:val="center"/>
              <w:rPr>
                <w:rFonts w:eastAsia="Times New Roman" w:cs="Calibri"/>
                <w:color w:val="000000"/>
                <w:sz w:val="20"/>
                <w:szCs w:val="20"/>
                <w:lang w:eastAsia="fr-FR"/>
              </w:rPr>
            </w:pPr>
            <w:r w:rsidRPr="004A69F2">
              <w:rPr>
                <w:rFonts w:eastAsia="Times New Roman" w:cs="Calibri"/>
                <w:color w:val="000000"/>
                <w:sz w:val="20"/>
                <w:szCs w:val="20"/>
                <w:lang w:eastAsia="fr-FR"/>
              </w:rPr>
              <w:t>M2</w:t>
            </w:r>
          </w:p>
        </w:tc>
        <w:tc>
          <w:tcPr>
            <w:tcW w:w="1142" w:type="dxa"/>
            <w:tcBorders>
              <w:top w:val="nil"/>
              <w:left w:val="nil"/>
              <w:bottom w:val="single" w:sz="4" w:space="0" w:color="auto"/>
              <w:right w:val="single" w:sz="4" w:space="0" w:color="auto"/>
            </w:tcBorders>
            <w:shd w:val="clear" w:color="auto" w:fill="auto"/>
            <w:noWrap/>
            <w:vAlign w:val="center"/>
            <w:hideMark/>
          </w:tcPr>
          <w:p w:rsidR="004A69F2" w:rsidRPr="004A69F2" w:rsidRDefault="004A69F2" w:rsidP="004A69F2">
            <w:pPr>
              <w:jc w:val="center"/>
              <w:rPr>
                <w:rFonts w:eastAsia="Times New Roman" w:cs="Calibri"/>
                <w:color w:val="000000"/>
                <w:sz w:val="18"/>
                <w:szCs w:val="18"/>
                <w:lang w:eastAsia="fr-FR"/>
              </w:rPr>
            </w:pPr>
            <w:r w:rsidRPr="004A69F2">
              <w:rPr>
                <w:rFonts w:eastAsia="Times New Roman" w:cs="Calibri"/>
                <w:color w:val="000000"/>
                <w:sz w:val="18"/>
                <w:szCs w:val="18"/>
                <w:lang w:eastAsia="fr-FR"/>
              </w:rPr>
              <w:t>36</w:t>
            </w:r>
          </w:p>
        </w:tc>
        <w:tc>
          <w:tcPr>
            <w:tcW w:w="1300" w:type="dxa"/>
            <w:tcBorders>
              <w:top w:val="nil"/>
              <w:left w:val="nil"/>
              <w:bottom w:val="single" w:sz="4" w:space="0" w:color="auto"/>
              <w:right w:val="single" w:sz="4" w:space="0" w:color="auto"/>
            </w:tcBorders>
            <w:shd w:val="clear" w:color="auto" w:fill="auto"/>
            <w:noWrap/>
            <w:vAlign w:val="center"/>
            <w:hideMark/>
          </w:tcPr>
          <w:p w:rsidR="004A69F2" w:rsidRPr="004A69F2" w:rsidRDefault="004A69F2" w:rsidP="004A69F2">
            <w:pPr>
              <w:jc w:val="center"/>
              <w:rPr>
                <w:rFonts w:eastAsia="Times New Roman" w:cs="Calibri"/>
                <w:color w:val="000000"/>
                <w:sz w:val="18"/>
                <w:szCs w:val="18"/>
                <w:lang w:eastAsia="fr-FR"/>
              </w:rPr>
            </w:pPr>
            <w:r w:rsidRPr="004A69F2">
              <w:rPr>
                <w:rFonts w:eastAsia="Times New Roman" w:cs="Calibri"/>
                <w:color w:val="000000"/>
                <w:sz w:val="18"/>
                <w:szCs w:val="18"/>
                <w:lang w:eastAsia="fr-FR"/>
              </w:rPr>
              <w:t>111</w:t>
            </w:r>
          </w:p>
        </w:tc>
        <w:tc>
          <w:tcPr>
            <w:tcW w:w="1120" w:type="dxa"/>
            <w:tcBorders>
              <w:top w:val="nil"/>
              <w:left w:val="nil"/>
              <w:bottom w:val="single" w:sz="4" w:space="0" w:color="auto"/>
              <w:right w:val="single" w:sz="4" w:space="0" w:color="auto"/>
            </w:tcBorders>
            <w:shd w:val="clear" w:color="auto" w:fill="auto"/>
            <w:noWrap/>
            <w:vAlign w:val="center"/>
            <w:hideMark/>
          </w:tcPr>
          <w:p w:rsidR="004A69F2" w:rsidRPr="004A69F2" w:rsidRDefault="004A69F2" w:rsidP="004A69F2">
            <w:pPr>
              <w:jc w:val="center"/>
              <w:rPr>
                <w:rFonts w:eastAsia="Times New Roman" w:cs="Calibri"/>
                <w:color w:val="000000"/>
                <w:sz w:val="18"/>
                <w:szCs w:val="18"/>
                <w:lang w:eastAsia="fr-FR"/>
              </w:rPr>
            </w:pPr>
            <w:r w:rsidRPr="004A69F2">
              <w:rPr>
                <w:rFonts w:eastAsia="Times New Roman" w:cs="Calibri"/>
                <w:color w:val="000000"/>
                <w:sz w:val="18"/>
                <w:szCs w:val="18"/>
                <w:lang w:eastAsia="fr-FR"/>
              </w:rPr>
              <w:t>72</w:t>
            </w:r>
          </w:p>
        </w:tc>
        <w:tc>
          <w:tcPr>
            <w:tcW w:w="1020" w:type="dxa"/>
            <w:tcBorders>
              <w:top w:val="nil"/>
              <w:left w:val="nil"/>
              <w:bottom w:val="single" w:sz="4" w:space="0" w:color="auto"/>
              <w:right w:val="single" w:sz="4" w:space="0" w:color="auto"/>
            </w:tcBorders>
            <w:shd w:val="clear" w:color="000000" w:fill="EEECE1"/>
            <w:noWrap/>
            <w:vAlign w:val="center"/>
            <w:hideMark/>
          </w:tcPr>
          <w:p w:rsidR="004A69F2" w:rsidRPr="004A69F2" w:rsidRDefault="004A69F2" w:rsidP="004A69F2">
            <w:pPr>
              <w:jc w:val="center"/>
              <w:rPr>
                <w:rFonts w:eastAsia="Times New Roman" w:cs="Calibri"/>
                <w:b/>
                <w:bCs/>
                <w:color w:val="000000"/>
                <w:sz w:val="18"/>
                <w:szCs w:val="18"/>
                <w:lang w:eastAsia="fr-FR"/>
              </w:rPr>
            </w:pPr>
            <w:r w:rsidRPr="004A69F2">
              <w:rPr>
                <w:rFonts w:eastAsia="Times New Roman" w:cs="Calibri"/>
                <w:b/>
                <w:bCs/>
                <w:color w:val="000000"/>
                <w:sz w:val="18"/>
                <w:szCs w:val="18"/>
                <w:lang w:eastAsia="fr-FR"/>
              </w:rPr>
              <w:t>219</w:t>
            </w:r>
          </w:p>
        </w:tc>
      </w:tr>
      <w:tr w:rsidR="004A69F2" w:rsidRPr="004A69F2" w:rsidTr="004A69F2">
        <w:trPr>
          <w:trHeight w:val="34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A69F2" w:rsidRPr="004A69F2" w:rsidRDefault="004A69F2" w:rsidP="004A69F2">
            <w:pPr>
              <w:jc w:val="center"/>
              <w:rPr>
                <w:rFonts w:eastAsia="Times New Roman" w:cs="Calibri"/>
                <w:b/>
                <w:bCs/>
                <w:i/>
                <w:iCs/>
                <w:color w:val="808080"/>
                <w:sz w:val="20"/>
                <w:szCs w:val="20"/>
                <w:lang w:eastAsia="fr-FR"/>
              </w:rPr>
            </w:pPr>
            <w:r w:rsidRPr="004A69F2">
              <w:rPr>
                <w:rFonts w:eastAsia="Times New Roman" w:cs="Calibri"/>
                <w:b/>
                <w:bCs/>
                <w:i/>
                <w:iCs/>
                <w:color w:val="808080"/>
                <w:sz w:val="20"/>
                <w:szCs w:val="20"/>
                <w:lang w:eastAsia="fr-FR"/>
              </w:rPr>
              <w:t>1</w:t>
            </w:r>
            <w:r w:rsidRPr="004A69F2">
              <w:rPr>
                <w:rFonts w:eastAsia="Times New Roman" w:cs="Calibri"/>
                <w:b/>
                <w:bCs/>
                <w:i/>
                <w:iCs/>
                <w:color w:val="808080"/>
                <w:sz w:val="20"/>
                <w:szCs w:val="20"/>
                <w:vertAlign w:val="superscript"/>
                <w:lang w:eastAsia="fr-FR"/>
              </w:rPr>
              <w:t>ère</w:t>
            </w:r>
            <w:r w:rsidRPr="004A69F2">
              <w:rPr>
                <w:rFonts w:eastAsia="Times New Roman" w:cs="Calibri"/>
                <w:b/>
                <w:bCs/>
                <w:i/>
                <w:iCs/>
                <w:color w:val="808080"/>
                <w:sz w:val="20"/>
                <w:szCs w:val="20"/>
                <w:lang w:eastAsia="fr-FR"/>
              </w:rPr>
              <w:t xml:space="preserve"> année M</w:t>
            </w:r>
          </w:p>
        </w:tc>
        <w:tc>
          <w:tcPr>
            <w:tcW w:w="1142" w:type="dxa"/>
            <w:tcBorders>
              <w:top w:val="nil"/>
              <w:left w:val="nil"/>
              <w:bottom w:val="single" w:sz="4" w:space="0" w:color="auto"/>
              <w:right w:val="single" w:sz="4" w:space="0" w:color="auto"/>
            </w:tcBorders>
            <w:shd w:val="clear" w:color="auto" w:fill="auto"/>
            <w:noWrap/>
            <w:vAlign w:val="center"/>
            <w:hideMark/>
          </w:tcPr>
          <w:p w:rsidR="004A69F2" w:rsidRPr="004A69F2" w:rsidRDefault="004A69F2" w:rsidP="004A69F2">
            <w:pPr>
              <w:jc w:val="center"/>
              <w:rPr>
                <w:rFonts w:eastAsia="Times New Roman" w:cs="Calibri"/>
                <w:b/>
                <w:bCs/>
                <w:i/>
                <w:iCs/>
                <w:color w:val="808080"/>
                <w:sz w:val="18"/>
                <w:szCs w:val="18"/>
                <w:lang w:eastAsia="fr-FR"/>
              </w:rPr>
            </w:pPr>
            <w:r w:rsidRPr="004A69F2">
              <w:rPr>
                <w:rFonts w:eastAsia="Times New Roman" w:cs="Calibri"/>
                <w:b/>
                <w:bCs/>
                <w:i/>
                <w:iCs/>
                <w:color w:val="808080"/>
                <w:sz w:val="18"/>
                <w:szCs w:val="18"/>
                <w:lang w:eastAsia="fr-FR"/>
              </w:rPr>
              <w:t>135</w:t>
            </w:r>
          </w:p>
        </w:tc>
        <w:tc>
          <w:tcPr>
            <w:tcW w:w="1300" w:type="dxa"/>
            <w:tcBorders>
              <w:top w:val="nil"/>
              <w:left w:val="nil"/>
              <w:bottom w:val="single" w:sz="4" w:space="0" w:color="auto"/>
              <w:right w:val="single" w:sz="4" w:space="0" w:color="auto"/>
            </w:tcBorders>
            <w:shd w:val="clear" w:color="auto" w:fill="auto"/>
            <w:noWrap/>
            <w:vAlign w:val="center"/>
            <w:hideMark/>
          </w:tcPr>
          <w:p w:rsidR="004A69F2" w:rsidRPr="004A69F2" w:rsidRDefault="004A69F2" w:rsidP="004A69F2">
            <w:pPr>
              <w:jc w:val="center"/>
              <w:rPr>
                <w:rFonts w:eastAsia="Times New Roman" w:cs="Calibri"/>
                <w:b/>
                <w:bCs/>
                <w:i/>
                <w:iCs/>
                <w:color w:val="808080"/>
                <w:sz w:val="18"/>
                <w:szCs w:val="18"/>
                <w:lang w:eastAsia="fr-FR"/>
              </w:rPr>
            </w:pPr>
            <w:r w:rsidRPr="004A69F2">
              <w:rPr>
                <w:rFonts w:eastAsia="Times New Roman" w:cs="Calibri"/>
                <w:b/>
                <w:bCs/>
                <w:i/>
                <w:iCs/>
                <w:color w:val="808080"/>
                <w:sz w:val="18"/>
                <w:szCs w:val="18"/>
                <w:lang w:eastAsia="fr-FR"/>
              </w:rPr>
              <w:t>225</w:t>
            </w:r>
          </w:p>
        </w:tc>
        <w:tc>
          <w:tcPr>
            <w:tcW w:w="1120" w:type="dxa"/>
            <w:tcBorders>
              <w:top w:val="nil"/>
              <w:left w:val="nil"/>
              <w:bottom w:val="single" w:sz="4" w:space="0" w:color="auto"/>
              <w:right w:val="single" w:sz="4" w:space="0" w:color="auto"/>
            </w:tcBorders>
            <w:shd w:val="clear" w:color="auto" w:fill="auto"/>
            <w:noWrap/>
            <w:vAlign w:val="center"/>
            <w:hideMark/>
          </w:tcPr>
          <w:p w:rsidR="004A69F2" w:rsidRPr="004A69F2" w:rsidRDefault="004A69F2" w:rsidP="004A69F2">
            <w:pPr>
              <w:jc w:val="center"/>
              <w:rPr>
                <w:rFonts w:eastAsia="Times New Roman" w:cs="Calibri"/>
                <w:b/>
                <w:bCs/>
                <w:i/>
                <w:iCs/>
                <w:color w:val="808080"/>
                <w:sz w:val="18"/>
                <w:szCs w:val="18"/>
                <w:lang w:eastAsia="fr-FR"/>
              </w:rPr>
            </w:pPr>
            <w:r w:rsidRPr="004A69F2">
              <w:rPr>
                <w:rFonts w:eastAsia="Times New Roman" w:cs="Calibri"/>
                <w:b/>
                <w:bCs/>
                <w:i/>
                <w:iCs/>
                <w:color w:val="808080"/>
                <w:sz w:val="18"/>
                <w:szCs w:val="18"/>
                <w:lang w:eastAsia="fr-FR"/>
              </w:rPr>
              <w:t>168</w:t>
            </w:r>
          </w:p>
        </w:tc>
        <w:tc>
          <w:tcPr>
            <w:tcW w:w="1020" w:type="dxa"/>
            <w:tcBorders>
              <w:top w:val="nil"/>
              <w:left w:val="nil"/>
              <w:bottom w:val="single" w:sz="4" w:space="0" w:color="auto"/>
              <w:right w:val="single" w:sz="4" w:space="0" w:color="auto"/>
            </w:tcBorders>
            <w:shd w:val="clear" w:color="000000" w:fill="EEECE1"/>
            <w:noWrap/>
            <w:vAlign w:val="center"/>
            <w:hideMark/>
          </w:tcPr>
          <w:p w:rsidR="004A69F2" w:rsidRPr="004A69F2" w:rsidRDefault="004A69F2" w:rsidP="004A69F2">
            <w:pPr>
              <w:jc w:val="center"/>
              <w:rPr>
                <w:rFonts w:eastAsia="Times New Roman" w:cs="Calibri"/>
                <w:b/>
                <w:bCs/>
                <w:i/>
                <w:iCs/>
                <w:color w:val="808080"/>
                <w:sz w:val="18"/>
                <w:szCs w:val="18"/>
                <w:lang w:eastAsia="fr-FR"/>
              </w:rPr>
            </w:pPr>
            <w:r w:rsidRPr="004A69F2">
              <w:rPr>
                <w:rFonts w:eastAsia="Times New Roman" w:cs="Calibri"/>
                <w:b/>
                <w:bCs/>
                <w:i/>
                <w:iCs/>
                <w:color w:val="808080"/>
                <w:sz w:val="18"/>
                <w:szCs w:val="18"/>
                <w:lang w:eastAsia="fr-FR"/>
              </w:rPr>
              <w:t>528</w:t>
            </w:r>
          </w:p>
        </w:tc>
      </w:tr>
      <w:tr w:rsidR="004A69F2" w:rsidRPr="004A69F2" w:rsidTr="004A69F2">
        <w:trPr>
          <w:trHeight w:val="195"/>
        </w:trPr>
        <w:tc>
          <w:tcPr>
            <w:tcW w:w="1300" w:type="dxa"/>
            <w:tcBorders>
              <w:top w:val="nil"/>
              <w:left w:val="nil"/>
              <w:bottom w:val="nil"/>
              <w:right w:val="nil"/>
            </w:tcBorders>
            <w:shd w:val="clear" w:color="auto" w:fill="auto"/>
            <w:noWrap/>
            <w:vAlign w:val="bottom"/>
            <w:hideMark/>
          </w:tcPr>
          <w:p w:rsidR="004A69F2" w:rsidRPr="004A69F2" w:rsidRDefault="004A69F2" w:rsidP="004A69F2">
            <w:pPr>
              <w:rPr>
                <w:rFonts w:eastAsia="Times New Roman" w:cs="Calibri"/>
                <w:color w:val="000000"/>
                <w:sz w:val="20"/>
                <w:szCs w:val="20"/>
                <w:lang w:eastAsia="fr-FR"/>
              </w:rPr>
            </w:pPr>
          </w:p>
        </w:tc>
        <w:tc>
          <w:tcPr>
            <w:tcW w:w="1142" w:type="dxa"/>
            <w:tcBorders>
              <w:top w:val="nil"/>
              <w:left w:val="nil"/>
              <w:bottom w:val="nil"/>
              <w:right w:val="nil"/>
            </w:tcBorders>
            <w:shd w:val="clear" w:color="auto" w:fill="auto"/>
            <w:noWrap/>
            <w:vAlign w:val="center"/>
            <w:hideMark/>
          </w:tcPr>
          <w:p w:rsidR="004A69F2" w:rsidRPr="004A69F2" w:rsidRDefault="004A69F2" w:rsidP="004A69F2">
            <w:pPr>
              <w:jc w:val="center"/>
              <w:rPr>
                <w:rFonts w:eastAsia="Times New Roman" w:cs="Calibri"/>
                <w:color w:val="000000"/>
                <w:sz w:val="18"/>
                <w:szCs w:val="18"/>
                <w:lang w:eastAsia="fr-FR"/>
              </w:rPr>
            </w:pPr>
          </w:p>
        </w:tc>
        <w:tc>
          <w:tcPr>
            <w:tcW w:w="1300" w:type="dxa"/>
            <w:tcBorders>
              <w:top w:val="nil"/>
              <w:left w:val="nil"/>
              <w:bottom w:val="nil"/>
              <w:right w:val="nil"/>
            </w:tcBorders>
            <w:shd w:val="clear" w:color="auto" w:fill="auto"/>
            <w:noWrap/>
            <w:vAlign w:val="center"/>
            <w:hideMark/>
          </w:tcPr>
          <w:p w:rsidR="004A69F2" w:rsidRPr="004A69F2" w:rsidRDefault="004A69F2" w:rsidP="004A69F2">
            <w:pPr>
              <w:jc w:val="center"/>
              <w:rPr>
                <w:rFonts w:eastAsia="Times New Roman" w:cs="Calibri"/>
                <w:color w:val="000000"/>
                <w:sz w:val="18"/>
                <w:szCs w:val="18"/>
                <w:lang w:eastAsia="fr-FR"/>
              </w:rPr>
            </w:pPr>
          </w:p>
        </w:tc>
        <w:tc>
          <w:tcPr>
            <w:tcW w:w="1120" w:type="dxa"/>
            <w:tcBorders>
              <w:top w:val="nil"/>
              <w:left w:val="nil"/>
              <w:bottom w:val="nil"/>
              <w:right w:val="nil"/>
            </w:tcBorders>
            <w:shd w:val="clear" w:color="auto" w:fill="auto"/>
            <w:noWrap/>
            <w:vAlign w:val="center"/>
            <w:hideMark/>
          </w:tcPr>
          <w:p w:rsidR="004A69F2" w:rsidRPr="004A69F2" w:rsidRDefault="004A69F2" w:rsidP="004A69F2">
            <w:pPr>
              <w:jc w:val="center"/>
              <w:rPr>
                <w:rFonts w:eastAsia="Times New Roman" w:cs="Calibri"/>
                <w:color w:val="000000"/>
                <w:sz w:val="18"/>
                <w:szCs w:val="18"/>
                <w:lang w:eastAsia="fr-FR"/>
              </w:rPr>
            </w:pPr>
          </w:p>
        </w:tc>
        <w:tc>
          <w:tcPr>
            <w:tcW w:w="1020" w:type="dxa"/>
            <w:tcBorders>
              <w:top w:val="nil"/>
              <w:left w:val="nil"/>
              <w:bottom w:val="nil"/>
              <w:right w:val="nil"/>
            </w:tcBorders>
            <w:shd w:val="clear" w:color="auto" w:fill="auto"/>
            <w:noWrap/>
            <w:vAlign w:val="center"/>
            <w:hideMark/>
          </w:tcPr>
          <w:p w:rsidR="004A69F2" w:rsidRPr="004A69F2" w:rsidRDefault="004A69F2" w:rsidP="004A69F2">
            <w:pPr>
              <w:jc w:val="center"/>
              <w:rPr>
                <w:rFonts w:eastAsia="Times New Roman" w:cs="Calibri"/>
                <w:b/>
                <w:bCs/>
                <w:color w:val="000000"/>
                <w:sz w:val="18"/>
                <w:szCs w:val="18"/>
                <w:lang w:eastAsia="fr-FR"/>
              </w:rPr>
            </w:pPr>
          </w:p>
        </w:tc>
      </w:tr>
      <w:tr w:rsidR="004A69F2" w:rsidRPr="004A69F2" w:rsidTr="004A69F2">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69F2" w:rsidRPr="004A69F2" w:rsidRDefault="004A69F2" w:rsidP="004A69F2">
            <w:pPr>
              <w:jc w:val="center"/>
              <w:rPr>
                <w:rFonts w:eastAsia="Times New Roman" w:cs="Calibri"/>
                <w:color w:val="000000"/>
                <w:sz w:val="20"/>
                <w:szCs w:val="20"/>
                <w:lang w:eastAsia="fr-FR"/>
              </w:rPr>
            </w:pPr>
            <w:r w:rsidRPr="004A69F2">
              <w:rPr>
                <w:rFonts w:eastAsia="Times New Roman" w:cs="Calibri"/>
                <w:color w:val="000000"/>
                <w:sz w:val="20"/>
                <w:szCs w:val="20"/>
                <w:lang w:eastAsia="fr-FR"/>
              </w:rPr>
              <w:t>M3</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rsidR="004A69F2" w:rsidRPr="004A69F2" w:rsidRDefault="004A69F2" w:rsidP="004A69F2">
            <w:pPr>
              <w:jc w:val="center"/>
              <w:rPr>
                <w:rFonts w:eastAsia="Times New Roman" w:cs="Calibri"/>
                <w:color w:val="000000"/>
                <w:sz w:val="18"/>
                <w:szCs w:val="18"/>
                <w:lang w:eastAsia="fr-FR"/>
              </w:rPr>
            </w:pPr>
            <w:r w:rsidRPr="004A69F2">
              <w:rPr>
                <w:rFonts w:eastAsia="Times New Roman" w:cs="Calibri"/>
                <w:color w:val="000000"/>
                <w:sz w:val="18"/>
                <w:szCs w:val="18"/>
                <w:lang w:eastAsia="fr-FR"/>
              </w:rPr>
              <w:t>18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4A69F2" w:rsidRPr="004A69F2" w:rsidRDefault="004A69F2" w:rsidP="004A69F2">
            <w:pPr>
              <w:jc w:val="center"/>
              <w:rPr>
                <w:rFonts w:eastAsia="Times New Roman" w:cs="Calibri"/>
                <w:color w:val="000000"/>
                <w:sz w:val="18"/>
                <w:szCs w:val="18"/>
                <w:lang w:eastAsia="fr-FR"/>
              </w:rPr>
            </w:pPr>
            <w:r w:rsidRPr="004A69F2">
              <w:rPr>
                <w:rFonts w:eastAsia="Times New Roman" w:cs="Calibri"/>
                <w:color w:val="000000"/>
                <w:sz w:val="18"/>
                <w:szCs w:val="18"/>
                <w:lang w:eastAsia="fr-FR"/>
              </w:rPr>
              <w:t>183</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4A69F2" w:rsidRPr="004A69F2" w:rsidRDefault="004A69F2" w:rsidP="004A69F2">
            <w:pPr>
              <w:jc w:val="center"/>
              <w:rPr>
                <w:rFonts w:eastAsia="Times New Roman" w:cs="Calibri"/>
                <w:color w:val="000000"/>
                <w:sz w:val="18"/>
                <w:szCs w:val="18"/>
                <w:lang w:eastAsia="fr-FR"/>
              </w:rPr>
            </w:pPr>
            <w:r w:rsidRPr="004A69F2">
              <w:rPr>
                <w:rFonts w:eastAsia="Times New Roman" w:cs="Calibri"/>
                <w:color w:val="000000"/>
                <w:sz w:val="18"/>
                <w:szCs w:val="18"/>
                <w:lang w:eastAsia="fr-FR"/>
              </w:rPr>
              <w:t>69</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4A69F2" w:rsidRPr="004A69F2" w:rsidRDefault="004A69F2" w:rsidP="004A69F2">
            <w:pPr>
              <w:jc w:val="center"/>
              <w:rPr>
                <w:rFonts w:eastAsia="Times New Roman" w:cs="Calibri"/>
                <w:b/>
                <w:bCs/>
                <w:color w:val="000000"/>
                <w:sz w:val="18"/>
                <w:szCs w:val="18"/>
                <w:lang w:eastAsia="fr-FR"/>
              </w:rPr>
            </w:pPr>
            <w:r w:rsidRPr="004A69F2">
              <w:rPr>
                <w:rFonts w:eastAsia="Times New Roman" w:cs="Calibri"/>
                <w:b/>
                <w:bCs/>
                <w:color w:val="000000"/>
                <w:sz w:val="18"/>
                <w:szCs w:val="18"/>
                <w:lang w:eastAsia="fr-FR"/>
              </w:rPr>
              <w:t>270</w:t>
            </w:r>
          </w:p>
        </w:tc>
      </w:tr>
      <w:tr w:rsidR="004A69F2" w:rsidRPr="004A69F2" w:rsidTr="004A69F2">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A69F2" w:rsidRPr="004A69F2" w:rsidRDefault="004A69F2" w:rsidP="004A69F2">
            <w:pPr>
              <w:rPr>
                <w:rFonts w:eastAsia="Times New Roman" w:cs="Calibri"/>
                <w:b/>
                <w:bCs/>
                <w:color w:val="808080"/>
                <w:sz w:val="20"/>
                <w:szCs w:val="20"/>
                <w:lang w:eastAsia="fr-FR"/>
              </w:rPr>
            </w:pPr>
            <w:r w:rsidRPr="004A69F2">
              <w:rPr>
                <w:rFonts w:eastAsia="Times New Roman" w:cs="Calibri"/>
                <w:b/>
                <w:bCs/>
                <w:color w:val="808080"/>
                <w:sz w:val="20"/>
                <w:szCs w:val="20"/>
                <w:lang w:eastAsia="fr-FR"/>
              </w:rPr>
              <w:t>Total master</w:t>
            </w:r>
          </w:p>
        </w:tc>
        <w:tc>
          <w:tcPr>
            <w:tcW w:w="1142" w:type="dxa"/>
            <w:tcBorders>
              <w:top w:val="nil"/>
              <w:left w:val="nil"/>
              <w:bottom w:val="single" w:sz="4" w:space="0" w:color="auto"/>
              <w:right w:val="single" w:sz="4" w:space="0" w:color="auto"/>
            </w:tcBorders>
            <w:shd w:val="clear" w:color="auto" w:fill="auto"/>
            <w:noWrap/>
            <w:vAlign w:val="center"/>
            <w:hideMark/>
          </w:tcPr>
          <w:p w:rsidR="004A69F2" w:rsidRPr="004A69F2" w:rsidRDefault="004A69F2" w:rsidP="004A69F2">
            <w:pPr>
              <w:jc w:val="right"/>
              <w:rPr>
                <w:rFonts w:eastAsia="Times New Roman" w:cs="Calibri"/>
                <w:b/>
                <w:bCs/>
                <w:color w:val="808080"/>
                <w:sz w:val="18"/>
                <w:szCs w:val="18"/>
                <w:lang w:eastAsia="fr-FR"/>
              </w:rPr>
            </w:pPr>
            <w:r w:rsidRPr="004A69F2">
              <w:rPr>
                <w:rFonts w:eastAsia="Times New Roman" w:cs="Calibri"/>
                <w:b/>
                <w:bCs/>
                <w:color w:val="808080"/>
                <w:sz w:val="18"/>
                <w:szCs w:val="18"/>
                <w:lang w:eastAsia="fr-FR"/>
              </w:rPr>
              <w:t>153</w:t>
            </w:r>
          </w:p>
        </w:tc>
        <w:tc>
          <w:tcPr>
            <w:tcW w:w="1300" w:type="dxa"/>
            <w:tcBorders>
              <w:top w:val="nil"/>
              <w:left w:val="nil"/>
              <w:bottom w:val="single" w:sz="4" w:space="0" w:color="auto"/>
              <w:right w:val="single" w:sz="4" w:space="0" w:color="auto"/>
            </w:tcBorders>
            <w:shd w:val="clear" w:color="auto" w:fill="auto"/>
            <w:noWrap/>
            <w:vAlign w:val="center"/>
            <w:hideMark/>
          </w:tcPr>
          <w:p w:rsidR="004A69F2" w:rsidRPr="004A69F2" w:rsidRDefault="004A69F2" w:rsidP="004A69F2">
            <w:pPr>
              <w:jc w:val="right"/>
              <w:rPr>
                <w:rFonts w:eastAsia="Times New Roman" w:cs="Calibri"/>
                <w:b/>
                <w:bCs/>
                <w:color w:val="808080"/>
                <w:sz w:val="18"/>
                <w:szCs w:val="18"/>
                <w:lang w:eastAsia="fr-FR"/>
              </w:rPr>
            </w:pPr>
            <w:r w:rsidRPr="004A69F2">
              <w:rPr>
                <w:rFonts w:eastAsia="Times New Roman" w:cs="Calibri"/>
                <w:b/>
                <w:bCs/>
                <w:color w:val="808080"/>
                <w:sz w:val="18"/>
                <w:szCs w:val="18"/>
                <w:lang w:eastAsia="fr-FR"/>
              </w:rPr>
              <w:t>408</w:t>
            </w:r>
          </w:p>
        </w:tc>
        <w:tc>
          <w:tcPr>
            <w:tcW w:w="1120" w:type="dxa"/>
            <w:tcBorders>
              <w:top w:val="nil"/>
              <w:left w:val="nil"/>
              <w:bottom w:val="single" w:sz="4" w:space="0" w:color="auto"/>
              <w:right w:val="single" w:sz="4" w:space="0" w:color="auto"/>
            </w:tcBorders>
            <w:shd w:val="clear" w:color="auto" w:fill="auto"/>
            <w:noWrap/>
            <w:vAlign w:val="center"/>
            <w:hideMark/>
          </w:tcPr>
          <w:p w:rsidR="004A69F2" w:rsidRPr="004A69F2" w:rsidRDefault="004A69F2" w:rsidP="004A69F2">
            <w:pPr>
              <w:jc w:val="right"/>
              <w:rPr>
                <w:rFonts w:eastAsia="Times New Roman" w:cs="Calibri"/>
                <w:b/>
                <w:bCs/>
                <w:color w:val="808080"/>
                <w:sz w:val="18"/>
                <w:szCs w:val="18"/>
                <w:lang w:eastAsia="fr-FR"/>
              </w:rPr>
            </w:pPr>
            <w:r w:rsidRPr="004A69F2">
              <w:rPr>
                <w:rFonts w:eastAsia="Times New Roman" w:cs="Calibri"/>
                <w:b/>
                <w:bCs/>
                <w:color w:val="808080"/>
                <w:sz w:val="18"/>
                <w:szCs w:val="18"/>
                <w:lang w:eastAsia="fr-FR"/>
              </w:rPr>
              <w:t>237</w:t>
            </w:r>
          </w:p>
        </w:tc>
        <w:tc>
          <w:tcPr>
            <w:tcW w:w="1020" w:type="dxa"/>
            <w:tcBorders>
              <w:top w:val="nil"/>
              <w:left w:val="nil"/>
              <w:bottom w:val="single" w:sz="4" w:space="0" w:color="auto"/>
              <w:right w:val="single" w:sz="4" w:space="0" w:color="auto"/>
            </w:tcBorders>
            <w:shd w:val="clear" w:color="000000" w:fill="EEECE1"/>
            <w:noWrap/>
            <w:vAlign w:val="center"/>
            <w:hideMark/>
          </w:tcPr>
          <w:p w:rsidR="004A69F2" w:rsidRPr="004A69F2" w:rsidRDefault="004A69F2" w:rsidP="004A69F2">
            <w:pPr>
              <w:jc w:val="right"/>
              <w:rPr>
                <w:rFonts w:eastAsia="Times New Roman" w:cs="Calibri"/>
                <w:b/>
                <w:bCs/>
                <w:color w:val="808080"/>
                <w:sz w:val="18"/>
                <w:szCs w:val="18"/>
                <w:lang w:eastAsia="fr-FR"/>
              </w:rPr>
            </w:pPr>
            <w:r w:rsidRPr="004A69F2">
              <w:rPr>
                <w:rFonts w:eastAsia="Times New Roman" w:cs="Calibri"/>
                <w:b/>
                <w:bCs/>
                <w:color w:val="808080"/>
                <w:sz w:val="18"/>
                <w:szCs w:val="18"/>
                <w:lang w:eastAsia="fr-FR"/>
              </w:rPr>
              <w:t>798</w:t>
            </w:r>
          </w:p>
        </w:tc>
      </w:tr>
      <w:tr w:rsidR="004A69F2" w:rsidRPr="004A69F2" w:rsidTr="004A69F2">
        <w:trPr>
          <w:trHeight w:val="465"/>
        </w:trPr>
        <w:tc>
          <w:tcPr>
            <w:tcW w:w="1300" w:type="dxa"/>
            <w:tcBorders>
              <w:top w:val="nil"/>
              <w:left w:val="nil"/>
              <w:bottom w:val="nil"/>
              <w:right w:val="nil"/>
            </w:tcBorders>
            <w:shd w:val="clear" w:color="auto" w:fill="auto"/>
            <w:noWrap/>
            <w:vAlign w:val="bottom"/>
            <w:hideMark/>
          </w:tcPr>
          <w:p w:rsidR="004A69F2" w:rsidRPr="004A69F2" w:rsidRDefault="004A69F2" w:rsidP="004A69F2">
            <w:pPr>
              <w:rPr>
                <w:rFonts w:eastAsia="Times New Roman" w:cs="Calibri"/>
                <w:color w:val="000000"/>
                <w:sz w:val="20"/>
                <w:szCs w:val="20"/>
                <w:lang w:eastAsia="fr-FR"/>
              </w:rPr>
            </w:pPr>
          </w:p>
        </w:tc>
        <w:tc>
          <w:tcPr>
            <w:tcW w:w="1142" w:type="dxa"/>
            <w:tcBorders>
              <w:top w:val="nil"/>
              <w:left w:val="nil"/>
              <w:bottom w:val="nil"/>
              <w:right w:val="nil"/>
            </w:tcBorders>
            <w:shd w:val="clear" w:color="auto" w:fill="auto"/>
            <w:noWrap/>
            <w:vAlign w:val="center"/>
            <w:hideMark/>
          </w:tcPr>
          <w:p w:rsidR="004A69F2" w:rsidRPr="004A69F2" w:rsidRDefault="004A69F2" w:rsidP="004A69F2">
            <w:pPr>
              <w:jc w:val="center"/>
              <w:rPr>
                <w:rFonts w:eastAsia="Times New Roman" w:cs="Calibri"/>
                <w:color w:val="000000"/>
                <w:sz w:val="18"/>
                <w:szCs w:val="18"/>
                <w:lang w:eastAsia="fr-FR"/>
              </w:rPr>
            </w:pPr>
          </w:p>
        </w:tc>
        <w:tc>
          <w:tcPr>
            <w:tcW w:w="1300" w:type="dxa"/>
            <w:tcBorders>
              <w:top w:val="nil"/>
              <w:left w:val="nil"/>
              <w:bottom w:val="nil"/>
              <w:right w:val="nil"/>
            </w:tcBorders>
            <w:shd w:val="clear" w:color="auto" w:fill="auto"/>
            <w:noWrap/>
            <w:vAlign w:val="center"/>
            <w:hideMark/>
          </w:tcPr>
          <w:p w:rsidR="004A69F2" w:rsidRPr="004A69F2" w:rsidRDefault="004A69F2" w:rsidP="004A69F2">
            <w:pPr>
              <w:jc w:val="center"/>
              <w:rPr>
                <w:rFonts w:eastAsia="Times New Roman" w:cs="Calibri"/>
                <w:color w:val="000000"/>
                <w:sz w:val="18"/>
                <w:szCs w:val="18"/>
                <w:lang w:eastAsia="fr-FR"/>
              </w:rPr>
            </w:pPr>
          </w:p>
        </w:tc>
        <w:tc>
          <w:tcPr>
            <w:tcW w:w="1120" w:type="dxa"/>
            <w:tcBorders>
              <w:top w:val="nil"/>
              <w:left w:val="nil"/>
              <w:bottom w:val="nil"/>
              <w:right w:val="nil"/>
            </w:tcBorders>
            <w:shd w:val="clear" w:color="auto" w:fill="auto"/>
            <w:noWrap/>
            <w:vAlign w:val="center"/>
            <w:hideMark/>
          </w:tcPr>
          <w:p w:rsidR="004A69F2" w:rsidRPr="004A69F2" w:rsidRDefault="004A69F2" w:rsidP="004A69F2">
            <w:pPr>
              <w:jc w:val="center"/>
              <w:rPr>
                <w:rFonts w:eastAsia="Times New Roman" w:cs="Calibri"/>
                <w:color w:val="000000"/>
                <w:sz w:val="18"/>
                <w:szCs w:val="18"/>
                <w:lang w:eastAsia="fr-FR"/>
              </w:rPr>
            </w:pPr>
          </w:p>
        </w:tc>
        <w:tc>
          <w:tcPr>
            <w:tcW w:w="1020" w:type="dxa"/>
            <w:tcBorders>
              <w:top w:val="nil"/>
              <w:left w:val="nil"/>
              <w:bottom w:val="nil"/>
              <w:right w:val="nil"/>
            </w:tcBorders>
            <w:shd w:val="clear" w:color="auto" w:fill="auto"/>
            <w:noWrap/>
            <w:vAlign w:val="center"/>
            <w:hideMark/>
          </w:tcPr>
          <w:p w:rsidR="004A69F2" w:rsidRPr="004A69F2" w:rsidRDefault="004A69F2" w:rsidP="004A69F2">
            <w:pPr>
              <w:jc w:val="center"/>
              <w:rPr>
                <w:rFonts w:eastAsia="Times New Roman" w:cs="Calibri"/>
                <w:b/>
                <w:bCs/>
                <w:color w:val="000000"/>
                <w:sz w:val="18"/>
                <w:szCs w:val="18"/>
                <w:lang w:eastAsia="fr-FR"/>
              </w:rPr>
            </w:pPr>
          </w:p>
        </w:tc>
      </w:tr>
      <w:tr w:rsidR="004A69F2" w:rsidRPr="004A69F2" w:rsidTr="004A69F2">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4A69F2" w:rsidRPr="004A69F2" w:rsidRDefault="004A69F2" w:rsidP="004A69F2">
            <w:pPr>
              <w:rPr>
                <w:rFonts w:eastAsia="Times New Roman" w:cs="Calibri"/>
                <w:b/>
                <w:bCs/>
                <w:color w:val="808080"/>
                <w:sz w:val="20"/>
                <w:szCs w:val="20"/>
                <w:lang w:eastAsia="fr-FR"/>
              </w:rPr>
            </w:pPr>
            <w:r w:rsidRPr="004A69F2">
              <w:rPr>
                <w:rFonts w:eastAsia="Times New Roman" w:cs="Calibri"/>
                <w:b/>
                <w:bCs/>
                <w:color w:val="808080"/>
                <w:sz w:val="20"/>
                <w:szCs w:val="20"/>
                <w:lang w:eastAsia="fr-FR"/>
              </w:rPr>
              <w:t>TOTAL</w:t>
            </w:r>
          </w:p>
        </w:tc>
        <w:tc>
          <w:tcPr>
            <w:tcW w:w="1142" w:type="dxa"/>
            <w:tcBorders>
              <w:top w:val="single" w:sz="4" w:space="0" w:color="auto"/>
              <w:left w:val="nil"/>
              <w:bottom w:val="single" w:sz="4" w:space="0" w:color="auto"/>
              <w:right w:val="single" w:sz="4" w:space="0" w:color="auto"/>
            </w:tcBorders>
            <w:shd w:val="clear" w:color="000000" w:fill="EEECE1"/>
            <w:noWrap/>
            <w:vAlign w:val="center"/>
            <w:hideMark/>
          </w:tcPr>
          <w:p w:rsidR="004A69F2" w:rsidRPr="004A69F2" w:rsidRDefault="004A69F2" w:rsidP="004A69F2">
            <w:pPr>
              <w:jc w:val="right"/>
              <w:rPr>
                <w:rFonts w:eastAsia="Times New Roman" w:cs="Calibri"/>
                <w:b/>
                <w:bCs/>
                <w:color w:val="808080"/>
                <w:sz w:val="18"/>
                <w:szCs w:val="18"/>
                <w:lang w:eastAsia="fr-FR"/>
              </w:rPr>
            </w:pPr>
            <w:r w:rsidRPr="004A69F2">
              <w:rPr>
                <w:rFonts w:eastAsia="Times New Roman" w:cs="Calibri"/>
                <w:b/>
                <w:bCs/>
                <w:color w:val="808080"/>
                <w:sz w:val="18"/>
                <w:szCs w:val="18"/>
                <w:lang w:eastAsia="fr-FR"/>
              </w:rPr>
              <w:t>417</w:t>
            </w:r>
          </w:p>
        </w:tc>
        <w:tc>
          <w:tcPr>
            <w:tcW w:w="1300" w:type="dxa"/>
            <w:tcBorders>
              <w:top w:val="single" w:sz="4" w:space="0" w:color="auto"/>
              <w:left w:val="nil"/>
              <w:bottom w:val="single" w:sz="4" w:space="0" w:color="auto"/>
              <w:right w:val="single" w:sz="4" w:space="0" w:color="auto"/>
            </w:tcBorders>
            <w:shd w:val="clear" w:color="000000" w:fill="EEECE1"/>
            <w:noWrap/>
            <w:vAlign w:val="center"/>
            <w:hideMark/>
          </w:tcPr>
          <w:p w:rsidR="004A69F2" w:rsidRPr="004A69F2" w:rsidRDefault="004A69F2" w:rsidP="004A69F2">
            <w:pPr>
              <w:jc w:val="right"/>
              <w:rPr>
                <w:rFonts w:eastAsia="Times New Roman" w:cs="Calibri"/>
                <w:b/>
                <w:bCs/>
                <w:color w:val="808080"/>
                <w:sz w:val="18"/>
                <w:szCs w:val="18"/>
                <w:lang w:eastAsia="fr-FR"/>
              </w:rPr>
            </w:pPr>
            <w:r w:rsidRPr="004A69F2">
              <w:rPr>
                <w:rFonts w:eastAsia="Times New Roman" w:cs="Calibri"/>
                <w:b/>
                <w:bCs/>
                <w:color w:val="808080"/>
                <w:sz w:val="18"/>
                <w:szCs w:val="18"/>
                <w:lang w:eastAsia="fr-FR"/>
              </w:rPr>
              <w:t>610</w:t>
            </w:r>
          </w:p>
        </w:tc>
        <w:tc>
          <w:tcPr>
            <w:tcW w:w="1120" w:type="dxa"/>
            <w:tcBorders>
              <w:top w:val="single" w:sz="4" w:space="0" w:color="auto"/>
              <w:left w:val="nil"/>
              <w:bottom w:val="single" w:sz="4" w:space="0" w:color="auto"/>
              <w:right w:val="single" w:sz="4" w:space="0" w:color="auto"/>
            </w:tcBorders>
            <w:shd w:val="clear" w:color="000000" w:fill="EEECE1"/>
            <w:noWrap/>
            <w:vAlign w:val="center"/>
            <w:hideMark/>
          </w:tcPr>
          <w:p w:rsidR="004A69F2" w:rsidRPr="004A69F2" w:rsidRDefault="004A69F2" w:rsidP="004A69F2">
            <w:pPr>
              <w:jc w:val="right"/>
              <w:rPr>
                <w:rFonts w:eastAsia="Times New Roman" w:cs="Calibri"/>
                <w:b/>
                <w:bCs/>
                <w:color w:val="808080"/>
                <w:sz w:val="18"/>
                <w:szCs w:val="18"/>
                <w:lang w:eastAsia="fr-FR"/>
              </w:rPr>
            </w:pPr>
            <w:r w:rsidRPr="004A69F2">
              <w:rPr>
                <w:rFonts w:eastAsia="Times New Roman" w:cs="Calibri"/>
                <w:b/>
                <w:bCs/>
                <w:color w:val="808080"/>
                <w:sz w:val="18"/>
                <w:szCs w:val="18"/>
                <w:lang w:eastAsia="fr-FR"/>
              </w:rPr>
              <w:t>273</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4A69F2" w:rsidRPr="004A69F2" w:rsidRDefault="004A69F2" w:rsidP="004A69F2">
            <w:pPr>
              <w:jc w:val="right"/>
              <w:rPr>
                <w:rFonts w:eastAsia="Times New Roman" w:cs="Calibri"/>
                <w:b/>
                <w:bCs/>
                <w:color w:val="808080"/>
                <w:sz w:val="18"/>
                <w:szCs w:val="18"/>
                <w:lang w:eastAsia="fr-FR"/>
              </w:rPr>
            </w:pPr>
            <w:r w:rsidRPr="004A69F2">
              <w:rPr>
                <w:rFonts w:eastAsia="Times New Roman" w:cs="Calibri"/>
                <w:b/>
                <w:bCs/>
                <w:color w:val="808080"/>
                <w:sz w:val="18"/>
                <w:szCs w:val="18"/>
                <w:lang w:eastAsia="fr-FR"/>
              </w:rPr>
              <w:t>1300</w:t>
            </w:r>
          </w:p>
        </w:tc>
      </w:tr>
    </w:tbl>
    <w:p w:rsidR="004A69F2" w:rsidRPr="004A69F2" w:rsidRDefault="004A69F2" w:rsidP="004A69F2">
      <w:pPr>
        <w:ind w:firstLine="1560"/>
        <w:jc w:val="both"/>
        <w:rPr>
          <w:rFonts w:asciiTheme="minorHAnsi" w:hAnsiTheme="minorHAnsi" w:cstheme="minorHAnsi"/>
          <w:sz w:val="18"/>
          <w:szCs w:val="18"/>
        </w:rPr>
      </w:pPr>
      <w:r w:rsidRPr="004A69F2">
        <w:rPr>
          <w:rFonts w:asciiTheme="minorHAnsi" w:hAnsiTheme="minorHAnsi" w:cstheme="minorHAnsi"/>
          <w:sz w:val="18"/>
          <w:szCs w:val="18"/>
        </w:rPr>
        <w:t>Volume horaire (HETD) de l’offre de formation de l’institut de démographie</w:t>
      </w:r>
    </w:p>
    <w:p w:rsidR="004A69F2" w:rsidRPr="003C59F2" w:rsidRDefault="003C59F2" w:rsidP="004A69F2">
      <w:pPr>
        <w:ind w:firstLine="1560"/>
        <w:jc w:val="both"/>
        <w:rPr>
          <w:rFonts w:asciiTheme="minorHAnsi" w:hAnsiTheme="minorHAnsi" w:cstheme="minorHAnsi"/>
          <w:i/>
          <w:sz w:val="18"/>
          <w:szCs w:val="18"/>
        </w:rPr>
      </w:pPr>
      <w:r w:rsidRPr="003C59F2">
        <w:rPr>
          <w:rFonts w:asciiTheme="minorHAnsi" w:hAnsiTheme="minorHAnsi" w:cstheme="minorHAnsi"/>
          <w:i/>
          <w:sz w:val="18"/>
          <w:szCs w:val="18"/>
        </w:rPr>
        <w:t>(Source : G</w:t>
      </w:r>
      <w:r w:rsidR="004A69F2" w:rsidRPr="003C59F2">
        <w:rPr>
          <w:rFonts w:asciiTheme="minorHAnsi" w:hAnsiTheme="minorHAnsi" w:cstheme="minorHAnsi"/>
          <w:i/>
          <w:sz w:val="18"/>
          <w:szCs w:val="18"/>
        </w:rPr>
        <w:t>uide pédagogique L + M)</w:t>
      </w:r>
    </w:p>
    <w:p w:rsidR="00C232FF" w:rsidRDefault="00C232FF" w:rsidP="00C232FF">
      <w:pPr>
        <w:tabs>
          <w:tab w:val="left" w:pos="9072"/>
        </w:tabs>
        <w:spacing w:before="120"/>
        <w:jc w:val="both"/>
        <w:rPr>
          <w:rFonts w:asciiTheme="minorHAnsi" w:hAnsiTheme="minorHAnsi" w:cstheme="minorHAnsi"/>
        </w:rPr>
      </w:pPr>
    </w:p>
    <w:p w:rsidR="00C232FF" w:rsidRDefault="00573C3D" w:rsidP="00F7773C">
      <w:pPr>
        <w:tabs>
          <w:tab w:val="left" w:pos="9072"/>
        </w:tabs>
        <w:spacing w:before="120"/>
        <w:ind w:firstLine="426"/>
        <w:jc w:val="both"/>
        <w:rPr>
          <w:rFonts w:asciiTheme="minorHAnsi" w:hAnsiTheme="minorHAnsi" w:cstheme="minorHAnsi"/>
        </w:rPr>
      </w:pPr>
      <w:r>
        <w:rPr>
          <w:rFonts w:asciiTheme="minorHAnsi" w:hAnsiTheme="minorHAnsi" w:cstheme="minorHAnsi"/>
        </w:rPr>
        <w:t>Nous sommes entrés cette année dans le</w:t>
      </w:r>
      <w:r w:rsidR="00C232FF">
        <w:rPr>
          <w:rFonts w:asciiTheme="minorHAnsi" w:hAnsiTheme="minorHAnsi" w:cstheme="minorHAnsi"/>
        </w:rPr>
        <w:t xml:space="preserve"> quinquennal 2013-2018. La nouvelle maquette de la licence de démographie est sensiblement identique à celle d’aujourd’hui. Par contre la maquette du master a été remaniée en profondeur :</w:t>
      </w:r>
    </w:p>
    <w:p w:rsidR="00C232FF" w:rsidRDefault="00C232FF" w:rsidP="00C232FF">
      <w:pPr>
        <w:tabs>
          <w:tab w:val="left" w:pos="9072"/>
        </w:tabs>
        <w:spacing w:before="60"/>
        <w:ind w:firstLine="425"/>
        <w:jc w:val="both"/>
        <w:rPr>
          <w:rFonts w:asciiTheme="minorHAnsi" w:hAnsiTheme="minorHAnsi" w:cstheme="minorHAnsi"/>
        </w:rPr>
      </w:pPr>
      <w:r>
        <w:rPr>
          <w:rFonts w:asciiTheme="minorHAnsi" w:hAnsiTheme="minorHAnsi" w:cstheme="minorHAnsi"/>
        </w:rPr>
        <w:t>- Transfert de quelques cours du M2 au M1 (cartographie par exemple) afin de rééquilibrer la charge de travail pour les étudiants et répondre à l’évolution du marché professionnel.</w:t>
      </w:r>
    </w:p>
    <w:p w:rsidR="00C232FF" w:rsidRDefault="00C232FF" w:rsidP="00C232FF">
      <w:pPr>
        <w:tabs>
          <w:tab w:val="left" w:pos="9072"/>
        </w:tabs>
        <w:spacing w:before="60"/>
        <w:ind w:firstLine="425"/>
        <w:jc w:val="both"/>
        <w:rPr>
          <w:rFonts w:asciiTheme="minorHAnsi" w:hAnsiTheme="minorHAnsi" w:cstheme="minorHAnsi"/>
        </w:rPr>
      </w:pPr>
      <w:r>
        <w:rPr>
          <w:rFonts w:asciiTheme="minorHAnsi" w:hAnsiTheme="minorHAnsi" w:cstheme="minorHAnsi"/>
        </w:rPr>
        <w:t>- 8 heures de remise à niveau prévues dès la rentrée à destination des M1 non titulaires de la licence de démographie.</w:t>
      </w:r>
    </w:p>
    <w:p w:rsidR="00C232FF" w:rsidRDefault="00C232FF" w:rsidP="00C232FF">
      <w:pPr>
        <w:tabs>
          <w:tab w:val="left" w:pos="9072"/>
        </w:tabs>
        <w:spacing w:before="60"/>
        <w:ind w:firstLine="425"/>
        <w:jc w:val="both"/>
        <w:rPr>
          <w:rFonts w:asciiTheme="minorHAnsi" w:hAnsiTheme="minorHAnsi" w:cstheme="minorHAnsi"/>
        </w:rPr>
      </w:pPr>
      <w:r>
        <w:rPr>
          <w:rFonts w:asciiTheme="minorHAnsi" w:hAnsiTheme="minorHAnsi" w:cstheme="minorHAnsi"/>
        </w:rPr>
        <w:t xml:space="preserve">- Introduction de nouveaux cours en M1 : </w:t>
      </w:r>
      <w:r w:rsidR="00573C3D">
        <w:rPr>
          <w:rFonts w:asciiTheme="minorHAnsi" w:hAnsiTheme="minorHAnsi" w:cstheme="minorHAnsi"/>
          <w:i/>
        </w:rPr>
        <w:t>D</w:t>
      </w:r>
      <w:r w:rsidRPr="00C232FF">
        <w:rPr>
          <w:rFonts w:asciiTheme="minorHAnsi" w:hAnsiTheme="minorHAnsi" w:cstheme="minorHAnsi"/>
          <w:i/>
        </w:rPr>
        <w:t>émographie pour terrain ethnographique</w:t>
      </w:r>
      <w:r>
        <w:rPr>
          <w:rFonts w:asciiTheme="minorHAnsi" w:hAnsiTheme="minorHAnsi" w:cstheme="minorHAnsi"/>
        </w:rPr>
        <w:t xml:space="preserve"> et </w:t>
      </w:r>
      <w:r w:rsidR="00573C3D">
        <w:rPr>
          <w:rFonts w:asciiTheme="minorHAnsi" w:hAnsiTheme="minorHAnsi" w:cstheme="minorHAnsi"/>
          <w:i/>
        </w:rPr>
        <w:t>G</w:t>
      </w:r>
      <w:r w:rsidRPr="00C232FF">
        <w:rPr>
          <w:rFonts w:asciiTheme="minorHAnsi" w:hAnsiTheme="minorHAnsi" w:cstheme="minorHAnsi"/>
          <w:i/>
        </w:rPr>
        <w:t>éographie humaine</w:t>
      </w:r>
      <w:r>
        <w:rPr>
          <w:rFonts w:asciiTheme="minorHAnsi" w:hAnsiTheme="minorHAnsi" w:cstheme="minorHAnsi"/>
        </w:rPr>
        <w:t xml:space="preserve"> cités précédemment ainsi que </w:t>
      </w:r>
      <w:r w:rsidR="00573C3D">
        <w:rPr>
          <w:rFonts w:asciiTheme="minorHAnsi" w:hAnsiTheme="minorHAnsi" w:cstheme="minorHAnsi"/>
          <w:i/>
        </w:rPr>
        <w:t>R</w:t>
      </w:r>
      <w:r w:rsidRPr="00C232FF">
        <w:rPr>
          <w:rFonts w:asciiTheme="minorHAnsi" w:hAnsiTheme="minorHAnsi" w:cstheme="minorHAnsi"/>
          <w:i/>
        </w:rPr>
        <w:t>echerche de stage</w:t>
      </w:r>
      <w:r>
        <w:rPr>
          <w:rFonts w:asciiTheme="minorHAnsi" w:hAnsiTheme="minorHAnsi" w:cstheme="minorHAnsi"/>
        </w:rPr>
        <w:t xml:space="preserve"> (rééquilibrage du volume horaire avec le M2).</w:t>
      </w:r>
    </w:p>
    <w:p w:rsidR="00C232FF" w:rsidRDefault="00C232FF" w:rsidP="00C232FF">
      <w:pPr>
        <w:tabs>
          <w:tab w:val="left" w:pos="9072"/>
        </w:tabs>
        <w:spacing w:before="60"/>
        <w:ind w:firstLine="425"/>
        <w:jc w:val="both"/>
        <w:rPr>
          <w:rFonts w:asciiTheme="minorHAnsi" w:hAnsiTheme="minorHAnsi" w:cstheme="minorHAnsi"/>
        </w:rPr>
      </w:pPr>
      <w:r>
        <w:rPr>
          <w:rFonts w:asciiTheme="minorHAnsi" w:hAnsiTheme="minorHAnsi" w:cstheme="minorHAnsi"/>
        </w:rPr>
        <w:t>- Renforcement de l’apprentissage de SAS en M1.</w:t>
      </w:r>
    </w:p>
    <w:p w:rsidR="00C232FF" w:rsidRDefault="00C232FF" w:rsidP="00C232FF">
      <w:pPr>
        <w:tabs>
          <w:tab w:val="left" w:pos="9072"/>
        </w:tabs>
        <w:spacing w:before="60"/>
        <w:ind w:firstLine="425"/>
        <w:jc w:val="both"/>
        <w:rPr>
          <w:rFonts w:asciiTheme="minorHAnsi" w:hAnsiTheme="minorHAnsi" w:cstheme="minorHAnsi"/>
        </w:rPr>
      </w:pPr>
      <w:r>
        <w:rPr>
          <w:rFonts w:asciiTheme="minorHAnsi" w:hAnsiTheme="minorHAnsi" w:cstheme="minorHAnsi"/>
        </w:rPr>
        <w:t>- Ajout d’une langue vivante en M2 sous forme de conférences et de cours disciplinaires en anglais.</w:t>
      </w:r>
    </w:p>
    <w:p w:rsidR="004A69F2" w:rsidRDefault="00C232FF" w:rsidP="00F7773C">
      <w:pPr>
        <w:spacing w:before="120"/>
        <w:ind w:firstLine="426"/>
        <w:jc w:val="both"/>
        <w:rPr>
          <w:rFonts w:asciiTheme="minorHAnsi" w:hAnsiTheme="minorHAnsi" w:cstheme="minorHAnsi"/>
        </w:rPr>
      </w:pPr>
      <w:r>
        <w:rPr>
          <w:rFonts w:asciiTheme="minorHAnsi" w:hAnsiTheme="minorHAnsi" w:cstheme="minorHAnsi"/>
        </w:rPr>
        <w:t>Cette recomposition de l’offre de formation, se conjugue au vaste mouvement</w:t>
      </w:r>
      <w:r w:rsidR="0092384A">
        <w:rPr>
          <w:rFonts w:asciiTheme="minorHAnsi" w:hAnsiTheme="minorHAnsi" w:cstheme="minorHAnsi"/>
        </w:rPr>
        <w:t xml:space="preserve"> d’économie</w:t>
      </w:r>
      <w:r w:rsidR="00E27152">
        <w:rPr>
          <w:rFonts w:asciiTheme="minorHAnsi" w:hAnsiTheme="minorHAnsi" w:cstheme="minorHAnsi"/>
        </w:rPr>
        <w:t>s</w:t>
      </w:r>
      <w:r w:rsidR="0092384A">
        <w:rPr>
          <w:rFonts w:asciiTheme="minorHAnsi" w:hAnsiTheme="minorHAnsi" w:cstheme="minorHAnsi"/>
        </w:rPr>
        <w:t xml:space="preserve"> engagé depuis quelques années. Ainsi, par rapport à la maquette du plan quadriennal précédent, la part des heures de cours mutualisés (en HETD) a augmenté de 17 points en moyenne, avec un effort aussi important en licence qu’en master. A l’opposé le recours aux intervenants extérieurs a reculé de 6 points entre les deux plans, </w:t>
      </w:r>
      <w:r w:rsidR="00F7773C">
        <w:rPr>
          <w:rFonts w:asciiTheme="minorHAnsi" w:hAnsiTheme="minorHAnsi" w:cstheme="minorHAnsi"/>
        </w:rPr>
        <w:t>de la même façon</w:t>
      </w:r>
      <w:r w:rsidR="0092384A">
        <w:rPr>
          <w:rFonts w:asciiTheme="minorHAnsi" w:hAnsiTheme="minorHAnsi" w:cstheme="minorHAnsi"/>
        </w:rPr>
        <w:t xml:space="preserve"> en licence comme en master.</w:t>
      </w:r>
    </w:p>
    <w:p w:rsidR="00C20226" w:rsidRDefault="00C20226" w:rsidP="00C20226">
      <w:pPr>
        <w:spacing w:before="300"/>
        <w:ind w:firstLine="425"/>
        <w:jc w:val="both"/>
        <w:rPr>
          <w:rFonts w:asciiTheme="minorHAnsi" w:hAnsiTheme="minorHAnsi" w:cstheme="minorHAnsi"/>
        </w:rPr>
      </w:pPr>
      <w:r>
        <w:rPr>
          <w:rFonts w:asciiTheme="minorHAnsi" w:hAnsiTheme="minorHAnsi" w:cstheme="minorHAnsi"/>
          <w:b/>
          <w:i/>
        </w:rPr>
        <w:lastRenderedPageBreak/>
        <w:t>Cours</w:t>
      </w:r>
      <w:r w:rsidRPr="00C20226">
        <w:rPr>
          <w:rFonts w:asciiTheme="minorHAnsi" w:hAnsiTheme="minorHAnsi" w:cstheme="minorHAnsi"/>
          <w:b/>
          <w:i/>
        </w:rPr>
        <w:t xml:space="preserve"> dispensé</w:t>
      </w:r>
      <w:r>
        <w:rPr>
          <w:rFonts w:asciiTheme="minorHAnsi" w:hAnsiTheme="minorHAnsi" w:cstheme="minorHAnsi"/>
          <w:b/>
          <w:i/>
        </w:rPr>
        <w:t>e</w:t>
      </w:r>
      <w:r w:rsidRPr="00C20226">
        <w:rPr>
          <w:rFonts w:asciiTheme="minorHAnsi" w:hAnsiTheme="minorHAnsi" w:cstheme="minorHAnsi"/>
          <w:b/>
          <w:i/>
        </w:rPr>
        <w:t xml:space="preserve">s par les </w:t>
      </w:r>
      <w:r w:rsidR="00F7773C" w:rsidRPr="00C20226">
        <w:rPr>
          <w:rFonts w:asciiTheme="minorHAnsi" w:hAnsiTheme="minorHAnsi" w:cstheme="minorHAnsi"/>
          <w:b/>
          <w:i/>
        </w:rPr>
        <w:t>enseignants-chercheurs de l’institut de démographie dans les cursus proposés par la faculté de sciences sociales</w:t>
      </w:r>
      <w:r w:rsidR="0067612B">
        <w:rPr>
          <w:rFonts w:asciiTheme="minorHAnsi" w:hAnsiTheme="minorHAnsi" w:cstheme="minorHAnsi"/>
        </w:rPr>
        <w:t xml:space="preserve">. </w:t>
      </w:r>
    </w:p>
    <w:p w:rsidR="004A69F2" w:rsidRDefault="0067612B" w:rsidP="00590AC8">
      <w:pPr>
        <w:spacing w:before="120"/>
        <w:ind w:firstLine="426"/>
        <w:jc w:val="both"/>
        <w:rPr>
          <w:rFonts w:asciiTheme="minorHAnsi" w:hAnsiTheme="minorHAnsi" w:cstheme="minorHAnsi"/>
        </w:rPr>
      </w:pPr>
      <w:r>
        <w:rPr>
          <w:rFonts w:asciiTheme="minorHAnsi" w:hAnsiTheme="minorHAnsi" w:cstheme="minorHAnsi"/>
        </w:rPr>
        <w:t xml:space="preserve">Comme le montre le tableau ci-dessous, </w:t>
      </w:r>
      <w:r w:rsidR="004109D4">
        <w:rPr>
          <w:rFonts w:asciiTheme="minorHAnsi" w:hAnsiTheme="minorHAnsi" w:cstheme="minorHAnsi"/>
        </w:rPr>
        <w:t xml:space="preserve">la contribution des enseignants-chercheurs de l’institut de démographie dans les cursus proposés par la faculté des sciences sociales (hors institut de démographie) s’élève à 268 heures (HETD), avec une très forte </w:t>
      </w:r>
      <w:proofErr w:type="spellStart"/>
      <w:r w:rsidR="004109D4">
        <w:rPr>
          <w:rFonts w:asciiTheme="minorHAnsi" w:hAnsiTheme="minorHAnsi" w:cstheme="minorHAnsi"/>
        </w:rPr>
        <w:t>sur-représentation</w:t>
      </w:r>
      <w:proofErr w:type="spellEnd"/>
      <w:r w:rsidR="004109D4">
        <w:rPr>
          <w:rFonts w:asciiTheme="minorHAnsi" w:hAnsiTheme="minorHAnsi" w:cstheme="minorHAnsi"/>
        </w:rPr>
        <w:t xml:space="preserve"> en licence (90 %) et notamment en 1</w:t>
      </w:r>
      <w:r w:rsidR="004109D4" w:rsidRPr="004109D4">
        <w:rPr>
          <w:rFonts w:asciiTheme="minorHAnsi" w:hAnsiTheme="minorHAnsi" w:cstheme="minorHAnsi"/>
          <w:vertAlign w:val="superscript"/>
        </w:rPr>
        <w:t>ère</w:t>
      </w:r>
      <w:r w:rsidR="004109D4">
        <w:rPr>
          <w:rFonts w:asciiTheme="minorHAnsi" w:hAnsiTheme="minorHAnsi" w:cstheme="minorHAnsi"/>
        </w:rPr>
        <w:t xml:space="preserve"> année où la proportion approche les 2/3.</w:t>
      </w:r>
    </w:p>
    <w:p w:rsidR="00C232FF" w:rsidRPr="00F7773C" w:rsidRDefault="00C232FF" w:rsidP="0067612B">
      <w:pPr>
        <w:spacing w:after="60"/>
        <w:ind w:left="2693"/>
        <w:jc w:val="both"/>
        <w:rPr>
          <w:rFonts w:asciiTheme="minorHAnsi" w:hAnsiTheme="minorHAnsi" w:cstheme="minorHAnsi"/>
          <w:sz w:val="18"/>
          <w:szCs w:val="18"/>
        </w:rPr>
      </w:pPr>
    </w:p>
    <w:tbl>
      <w:tblPr>
        <w:tblW w:w="2600" w:type="dxa"/>
        <w:tblInd w:w="3238" w:type="dxa"/>
        <w:tblCellMar>
          <w:left w:w="70" w:type="dxa"/>
          <w:right w:w="70" w:type="dxa"/>
        </w:tblCellMar>
        <w:tblLook w:val="04A0" w:firstRow="1" w:lastRow="0" w:firstColumn="1" w:lastColumn="0" w:noHBand="0" w:noVBand="1"/>
      </w:tblPr>
      <w:tblGrid>
        <w:gridCol w:w="1200"/>
        <w:gridCol w:w="1400"/>
      </w:tblGrid>
      <w:tr w:rsidR="00F7773C" w:rsidRPr="00EF0571" w:rsidTr="00F7773C">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73C" w:rsidRPr="00EF0571" w:rsidRDefault="00F7773C" w:rsidP="00F7773C">
            <w:pPr>
              <w:rPr>
                <w:rFonts w:eastAsia="Times New Roman" w:cs="Calibri"/>
                <w:color w:val="000000"/>
                <w:sz w:val="20"/>
                <w:szCs w:val="20"/>
                <w:lang w:eastAsia="fr-FR"/>
              </w:rPr>
            </w:pPr>
            <w:r w:rsidRPr="00EF0571">
              <w:rPr>
                <w:rFonts w:eastAsia="Times New Roman" w:cs="Calibri"/>
                <w:color w:val="000000"/>
                <w:sz w:val="20"/>
                <w:szCs w:val="20"/>
                <w:lang w:eastAsia="fr-FR"/>
              </w:rPr>
              <w:t>L1 + L2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F7773C" w:rsidRPr="00EF0571" w:rsidRDefault="00F7773C" w:rsidP="00F7773C">
            <w:pPr>
              <w:jc w:val="center"/>
              <w:rPr>
                <w:rFonts w:eastAsia="Times New Roman" w:cs="Calibri"/>
                <w:color w:val="000000"/>
                <w:sz w:val="20"/>
                <w:szCs w:val="20"/>
                <w:lang w:eastAsia="fr-FR"/>
              </w:rPr>
            </w:pPr>
            <w:r w:rsidRPr="00EF0571">
              <w:rPr>
                <w:rFonts w:eastAsia="Times New Roman" w:cs="Calibri"/>
                <w:color w:val="000000"/>
                <w:sz w:val="20"/>
                <w:szCs w:val="20"/>
                <w:lang w:eastAsia="fr-FR"/>
              </w:rPr>
              <w:t>171</w:t>
            </w:r>
          </w:p>
        </w:tc>
      </w:tr>
      <w:tr w:rsidR="00F7773C" w:rsidRPr="00EF0571" w:rsidTr="00F7773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7773C" w:rsidRPr="00EF0571" w:rsidRDefault="00F7773C" w:rsidP="00F7773C">
            <w:pPr>
              <w:rPr>
                <w:rFonts w:eastAsia="Times New Roman" w:cs="Calibri"/>
                <w:color w:val="000000"/>
                <w:sz w:val="20"/>
                <w:szCs w:val="20"/>
                <w:lang w:eastAsia="fr-FR"/>
              </w:rPr>
            </w:pPr>
            <w:r w:rsidRPr="00EF0571">
              <w:rPr>
                <w:rFonts w:eastAsia="Times New Roman" w:cs="Calibri"/>
                <w:color w:val="000000"/>
                <w:sz w:val="20"/>
                <w:szCs w:val="20"/>
                <w:lang w:eastAsia="fr-FR"/>
              </w:rPr>
              <w:t>L3 + L4</w:t>
            </w:r>
          </w:p>
        </w:tc>
        <w:tc>
          <w:tcPr>
            <w:tcW w:w="1400" w:type="dxa"/>
            <w:tcBorders>
              <w:top w:val="nil"/>
              <w:left w:val="nil"/>
              <w:bottom w:val="single" w:sz="4" w:space="0" w:color="auto"/>
              <w:right w:val="single" w:sz="4" w:space="0" w:color="auto"/>
            </w:tcBorders>
            <w:shd w:val="clear" w:color="auto" w:fill="auto"/>
            <w:noWrap/>
            <w:vAlign w:val="bottom"/>
            <w:hideMark/>
          </w:tcPr>
          <w:p w:rsidR="00F7773C" w:rsidRPr="00EF0571" w:rsidRDefault="0055457A" w:rsidP="00F7773C">
            <w:pPr>
              <w:jc w:val="center"/>
              <w:rPr>
                <w:rFonts w:eastAsia="Times New Roman" w:cs="Calibri"/>
                <w:color w:val="000000"/>
                <w:sz w:val="20"/>
                <w:szCs w:val="20"/>
                <w:lang w:eastAsia="fr-FR"/>
              </w:rPr>
            </w:pPr>
            <w:r>
              <w:rPr>
                <w:rFonts w:eastAsia="Times New Roman" w:cs="Calibri"/>
                <w:color w:val="000000"/>
                <w:sz w:val="20"/>
                <w:szCs w:val="20"/>
                <w:lang w:eastAsia="fr-FR"/>
              </w:rPr>
              <w:t>84</w:t>
            </w:r>
          </w:p>
        </w:tc>
      </w:tr>
      <w:tr w:rsidR="00F7773C" w:rsidRPr="00EF0571" w:rsidTr="00F7773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7773C" w:rsidRPr="00EF0571" w:rsidRDefault="00F7773C" w:rsidP="00F7773C">
            <w:pPr>
              <w:rPr>
                <w:rFonts w:eastAsia="Times New Roman" w:cs="Calibri"/>
                <w:color w:val="000000"/>
                <w:sz w:val="20"/>
                <w:szCs w:val="20"/>
                <w:lang w:eastAsia="fr-FR"/>
              </w:rPr>
            </w:pPr>
            <w:r w:rsidRPr="00EF0571">
              <w:rPr>
                <w:rFonts w:eastAsia="Times New Roman" w:cs="Calibri"/>
                <w:color w:val="000000"/>
                <w:sz w:val="20"/>
                <w:szCs w:val="20"/>
                <w:lang w:eastAsia="fr-FR"/>
              </w:rPr>
              <w:t>L5 + L6</w:t>
            </w:r>
          </w:p>
        </w:tc>
        <w:tc>
          <w:tcPr>
            <w:tcW w:w="1400" w:type="dxa"/>
            <w:tcBorders>
              <w:top w:val="nil"/>
              <w:left w:val="nil"/>
              <w:bottom w:val="single" w:sz="4" w:space="0" w:color="auto"/>
              <w:right w:val="single" w:sz="4" w:space="0" w:color="auto"/>
            </w:tcBorders>
            <w:shd w:val="clear" w:color="auto" w:fill="auto"/>
            <w:noWrap/>
            <w:vAlign w:val="bottom"/>
            <w:hideMark/>
          </w:tcPr>
          <w:p w:rsidR="00F7773C" w:rsidRPr="00EF0571" w:rsidRDefault="00F7773C" w:rsidP="00F7773C">
            <w:pPr>
              <w:jc w:val="center"/>
              <w:rPr>
                <w:rFonts w:eastAsia="Times New Roman" w:cs="Calibri"/>
                <w:color w:val="000000"/>
                <w:sz w:val="20"/>
                <w:szCs w:val="20"/>
                <w:lang w:eastAsia="fr-FR"/>
              </w:rPr>
            </w:pPr>
            <w:r w:rsidRPr="00EF0571">
              <w:rPr>
                <w:rFonts w:eastAsia="Times New Roman" w:cs="Calibri"/>
                <w:color w:val="000000"/>
                <w:sz w:val="20"/>
                <w:szCs w:val="20"/>
                <w:lang w:eastAsia="fr-FR"/>
              </w:rPr>
              <w:t>0</w:t>
            </w:r>
          </w:p>
        </w:tc>
      </w:tr>
      <w:tr w:rsidR="00F7773C" w:rsidRPr="00EF0571" w:rsidTr="00F7773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7773C" w:rsidRPr="00EF0571" w:rsidRDefault="00F7773C" w:rsidP="00F7773C">
            <w:pPr>
              <w:rPr>
                <w:rFonts w:eastAsia="Times New Roman" w:cs="Calibri"/>
                <w:b/>
                <w:bCs/>
                <w:color w:val="808080"/>
                <w:sz w:val="20"/>
                <w:szCs w:val="20"/>
                <w:lang w:eastAsia="fr-FR"/>
              </w:rPr>
            </w:pPr>
            <w:r w:rsidRPr="00EF0571">
              <w:rPr>
                <w:rFonts w:eastAsia="Times New Roman" w:cs="Calibri"/>
                <w:b/>
                <w:bCs/>
                <w:color w:val="808080"/>
                <w:sz w:val="20"/>
                <w:szCs w:val="20"/>
                <w:lang w:eastAsia="fr-FR"/>
              </w:rPr>
              <w:t>Licence</w:t>
            </w:r>
          </w:p>
        </w:tc>
        <w:tc>
          <w:tcPr>
            <w:tcW w:w="1400" w:type="dxa"/>
            <w:tcBorders>
              <w:top w:val="nil"/>
              <w:left w:val="nil"/>
              <w:bottom w:val="single" w:sz="4" w:space="0" w:color="auto"/>
              <w:right w:val="single" w:sz="4" w:space="0" w:color="auto"/>
            </w:tcBorders>
            <w:shd w:val="clear" w:color="auto" w:fill="auto"/>
            <w:noWrap/>
            <w:vAlign w:val="bottom"/>
            <w:hideMark/>
          </w:tcPr>
          <w:p w:rsidR="00F7773C" w:rsidRPr="00EF0571" w:rsidRDefault="00F7773C" w:rsidP="0055457A">
            <w:pPr>
              <w:jc w:val="right"/>
              <w:rPr>
                <w:rFonts w:eastAsia="Times New Roman" w:cs="Calibri"/>
                <w:b/>
                <w:bCs/>
                <w:color w:val="808080"/>
                <w:sz w:val="20"/>
                <w:szCs w:val="20"/>
                <w:lang w:eastAsia="fr-FR"/>
              </w:rPr>
            </w:pPr>
            <w:r w:rsidRPr="00EF0571">
              <w:rPr>
                <w:rFonts w:eastAsia="Times New Roman" w:cs="Calibri"/>
                <w:b/>
                <w:bCs/>
                <w:color w:val="808080"/>
                <w:sz w:val="20"/>
                <w:szCs w:val="20"/>
                <w:lang w:eastAsia="fr-FR"/>
              </w:rPr>
              <w:t>2</w:t>
            </w:r>
            <w:r w:rsidR="0055457A">
              <w:rPr>
                <w:rFonts w:eastAsia="Times New Roman" w:cs="Calibri"/>
                <w:b/>
                <w:bCs/>
                <w:color w:val="808080"/>
                <w:sz w:val="20"/>
                <w:szCs w:val="20"/>
                <w:lang w:eastAsia="fr-FR"/>
              </w:rPr>
              <w:t>55</w:t>
            </w:r>
          </w:p>
        </w:tc>
      </w:tr>
      <w:tr w:rsidR="00F7773C" w:rsidRPr="00EF0571" w:rsidTr="00F7773C">
        <w:trPr>
          <w:trHeight w:val="300"/>
        </w:trPr>
        <w:tc>
          <w:tcPr>
            <w:tcW w:w="1200" w:type="dxa"/>
            <w:tcBorders>
              <w:top w:val="nil"/>
              <w:left w:val="nil"/>
              <w:bottom w:val="nil"/>
              <w:right w:val="nil"/>
            </w:tcBorders>
            <w:shd w:val="clear" w:color="auto" w:fill="auto"/>
            <w:noWrap/>
            <w:vAlign w:val="bottom"/>
            <w:hideMark/>
          </w:tcPr>
          <w:p w:rsidR="00F7773C" w:rsidRPr="00EF0571" w:rsidRDefault="00F7773C" w:rsidP="00F7773C">
            <w:pPr>
              <w:rPr>
                <w:rFonts w:eastAsia="Times New Roman" w:cs="Calibri"/>
                <w:color w:val="000000"/>
                <w:sz w:val="20"/>
                <w:szCs w:val="20"/>
                <w:lang w:eastAsia="fr-FR"/>
              </w:rPr>
            </w:pPr>
          </w:p>
        </w:tc>
        <w:tc>
          <w:tcPr>
            <w:tcW w:w="1400" w:type="dxa"/>
            <w:tcBorders>
              <w:top w:val="nil"/>
              <w:left w:val="nil"/>
              <w:bottom w:val="nil"/>
              <w:right w:val="nil"/>
            </w:tcBorders>
            <w:shd w:val="clear" w:color="auto" w:fill="auto"/>
            <w:noWrap/>
            <w:vAlign w:val="bottom"/>
            <w:hideMark/>
          </w:tcPr>
          <w:p w:rsidR="00F7773C" w:rsidRPr="00EF0571" w:rsidRDefault="00F7773C" w:rsidP="00F7773C">
            <w:pPr>
              <w:rPr>
                <w:rFonts w:eastAsia="Times New Roman" w:cs="Calibri"/>
                <w:color w:val="000000"/>
                <w:sz w:val="20"/>
                <w:szCs w:val="20"/>
                <w:lang w:eastAsia="fr-FR"/>
              </w:rPr>
            </w:pPr>
          </w:p>
        </w:tc>
      </w:tr>
      <w:tr w:rsidR="00F7773C" w:rsidRPr="00EF0571" w:rsidTr="00F7773C">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73C" w:rsidRPr="00EF0571" w:rsidRDefault="00F7773C" w:rsidP="00F7773C">
            <w:pPr>
              <w:rPr>
                <w:rFonts w:eastAsia="Times New Roman" w:cs="Calibri"/>
                <w:color w:val="000000"/>
                <w:sz w:val="20"/>
                <w:szCs w:val="20"/>
                <w:lang w:eastAsia="fr-FR"/>
              </w:rPr>
            </w:pPr>
            <w:r w:rsidRPr="00EF0571">
              <w:rPr>
                <w:rFonts w:eastAsia="Times New Roman" w:cs="Calibri"/>
                <w:color w:val="000000"/>
                <w:sz w:val="20"/>
                <w:szCs w:val="20"/>
                <w:lang w:eastAsia="fr-FR"/>
              </w:rPr>
              <w:t>M1 + M2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F7773C" w:rsidRPr="00EF0571" w:rsidRDefault="00F7773C" w:rsidP="00F7773C">
            <w:pPr>
              <w:jc w:val="center"/>
              <w:rPr>
                <w:rFonts w:eastAsia="Times New Roman" w:cs="Calibri"/>
                <w:color w:val="000000"/>
                <w:sz w:val="20"/>
                <w:szCs w:val="20"/>
                <w:lang w:eastAsia="fr-FR"/>
              </w:rPr>
            </w:pPr>
            <w:r w:rsidRPr="00EF0571">
              <w:rPr>
                <w:rFonts w:eastAsia="Times New Roman" w:cs="Calibri"/>
                <w:color w:val="000000"/>
                <w:sz w:val="20"/>
                <w:szCs w:val="20"/>
                <w:lang w:eastAsia="fr-FR"/>
              </w:rPr>
              <w:t>9</w:t>
            </w:r>
          </w:p>
        </w:tc>
      </w:tr>
      <w:tr w:rsidR="00F7773C" w:rsidRPr="00EF0571" w:rsidTr="00F7773C">
        <w:trPr>
          <w:trHeight w:val="300"/>
        </w:trPr>
        <w:tc>
          <w:tcPr>
            <w:tcW w:w="1200" w:type="dxa"/>
            <w:tcBorders>
              <w:top w:val="nil"/>
              <w:left w:val="single" w:sz="4" w:space="0" w:color="auto"/>
              <w:bottom w:val="nil"/>
              <w:right w:val="single" w:sz="4" w:space="0" w:color="auto"/>
            </w:tcBorders>
            <w:shd w:val="clear" w:color="auto" w:fill="auto"/>
            <w:noWrap/>
            <w:vAlign w:val="bottom"/>
            <w:hideMark/>
          </w:tcPr>
          <w:p w:rsidR="00F7773C" w:rsidRPr="00EF0571" w:rsidRDefault="00F7773C" w:rsidP="00F7773C">
            <w:pPr>
              <w:rPr>
                <w:rFonts w:eastAsia="Times New Roman" w:cs="Calibri"/>
                <w:color w:val="000000"/>
                <w:sz w:val="20"/>
                <w:szCs w:val="20"/>
                <w:lang w:eastAsia="fr-FR"/>
              </w:rPr>
            </w:pPr>
            <w:r w:rsidRPr="00EF0571">
              <w:rPr>
                <w:rFonts w:eastAsia="Times New Roman" w:cs="Calibri"/>
                <w:color w:val="000000"/>
                <w:sz w:val="20"/>
                <w:szCs w:val="20"/>
                <w:lang w:eastAsia="fr-FR"/>
              </w:rPr>
              <w:t>M3</w:t>
            </w:r>
          </w:p>
        </w:tc>
        <w:tc>
          <w:tcPr>
            <w:tcW w:w="1400" w:type="dxa"/>
            <w:tcBorders>
              <w:top w:val="nil"/>
              <w:left w:val="nil"/>
              <w:bottom w:val="nil"/>
              <w:right w:val="single" w:sz="4" w:space="0" w:color="auto"/>
            </w:tcBorders>
            <w:shd w:val="clear" w:color="auto" w:fill="auto"/>
            <w:noWrap/>
            <w:vAlign w:val="bottom"/>
            <w:hideMark/>
          </w:tcPr>
          <w:p w:rsidR="00F7773C" w:rsidRPr="00EF0571" w:rsidRDefault="00F7773C" w:rsidP="00F7773C">
            <w:pPr>
              <w:jc w:val="center"/>
              <w:rPr>
                <w:rFonts w:eastAsia="Times New Roman" w:cs="Calibri"/>
                <w:color w:val="000000"/>
                <w:sz w:val="20"/>
                <w:szCs w:val="20"/>
                <w:lang w:eastAsia="fr-FR"/>
              </w:rPr>
            </w:pPr>
            <w:r w:rsidRPr="00EF0571">
              <w:rPr>
                <w:rFonts w:eastAsia="Times New Roman" w:cs="Calibri"/>
                <w:color w:val="000000"/>
                <w:sz w:val="20"/>
                <w:szCs w:val="20"/>
                <w:lang w:eastAsia="fr-FR"/>
              </w:rPr>
              <w:t>16</w:t>
            </w:r>
          </w:p>
        </w:tc>
      </w:tr>
      <w:tr w:rsidR="00F7773C" w:rsidRPr="00EF0571" w:rsidTr="00F7773C">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73C" w:rsidRPr="00EF0571" w:rsidRDefault="00F7773C" w:rsidP="00F7773C">
            <w:pPr>
              <w:rPr>
                <w:rFonts w:eastAsia="Times New Roman" w:cs="Calibri"/>
                <w:b/>
                <w:bCs/>
                <w:color w:val="808080"/>
                <w:sz w:val="20"/>
                <w:szCs w:val="20"/>
                <w:lang w:eastAsia="fr-FR"/>
              </w:rPr>
            </w:pPr>
            <w:r w:rsidRPr="00EF0571">
              <w:rPr>
                <w:rFonts w:eastAsia="Times New Roman" w:cs="Calibri"/>
                <w:b/>
                <w:bCs/>
                <w:color w:val="808080"/>
                <w:sz w:val="20"/>
                <w:szCs w:val="20"/>
                <w:lang w:eastAsia="fr-FR"/>
              </w:rPr>
              <w:t>Master</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F7773C" w:rsidRPr="00EF0571" w:rsidRDefault="00F7773C" w:rsidP="00F7773C">
            <w:pPr>
              <w:jc w:val="right"/>
              <w:rPr>
                <w:rFonts w:eastAsia="Times New Roman" w:cs="Calibri"/>
                <w:b/>
                <w:bCs/>
                <w:color w:val="808080"/>
                <w:sz w:val="20"/>
                <w:szCs w:val="20"/>
                <w:lang w:eastAsia="fr-FR"/>
              </w:rPr>
            </w:pPr>
            <w:r w:rsidRPr="00EF0571">
              <w:rPr>
                <w:rFonts w:eastAsia="Times New Roman" w:cs="Calibri"/>
                <w:b/>
                <w:bCs/>
                <w:color w:val="808080"/>
                <w:sz w:val="20"/>
                <w:szCs w:val="20"/>
                <w:lang w:eastAsia="fr-FR"/>
              </w:rPr>
              <w:t>25</w:t>
            </w:r>
          </w:p>
        </w:tc>
      </w:tr>
      <w:tr w:rsidR="00F7773C" w:rsidRPr="00EF0571" w:rsidTr="00F7773C">
        <w:trPr>
          <w:trHeight w:val="300"/>
        </w:trPr>
        <w:tc>
          <w:tcPr>
            <w:tcW w:w="1200" w:type="dxa"/>
            <w:tcBorders>
              <w:top w:val="nil"/>
              <w:left w:val="nil"/>
              <w:bottom w:val="nil"/>
              <w:right w:val="nil"/>
            </w:tcBorders>
            <w:shd w:val="clear" w:color="auto" w:fill="auto"/>
            <w:noWrap/>
            <w:vAlign w:val="bottom"/>
            <w:hideMark/>
          </w:tcPr>
          <w:p w:rsidR="00F7773C" w:rsidRPr="00EF0571" w:rsidRDefault="00F7773C" w:rsidP="00F7773C">
            <w:pPr>
              <w:rPr>
                <w:rFonts w:eastAsia="Times New Roman" w:cs="Calibri"/>
                <w:color w:val="000000"/>
                <w:sz w:val="20"/>
                <w:szCs w:val="20"/>
                <w:lang w:eastAsia="fr-FR"/>
              </w:rPr>
            </w:pPr>
          </w:p>
        </w:tc>
        <w:tc>
          <w:tcPr>
            <w:tcW w:w="1400" w:type="dxa"/>
            <w:tcBorders>
              <w:top w:val="nil"/>
              <w:left w:val="nil"/>
              <w:bottom w:val="nil"/>
              <w:right w:val="nil"/>
            </w:tcBorders>
            <w:shd w:val="clear" w:color="auto" w:fill="auto"/>
            <w:noWrap/>
            <w:vAlign w:val="bottom"/>
            <w:hideMark/>
          </w:tcPr>
          <w:p w:rsidR="00F7773C" w:rsidRPr="00EF0571" w:rsidRDefault="00F7773C" w:rsidP="00F7773C">
            <w:pPr>
              <w:jc w:val="center"/>
              <w:rPr>
                <w:rFonts w:eastAsia="Times New Roman" w:cs="Calibri"/>
                <w:color w:val="000000"/>
                <w:sz w:val="20"/>
                <w:szCs w:val="20"/>
                <w:lang w:eastAsia="fr-FR"/>
              </w:rPr>
            </w:pPr>
          </w:p>
        </w:tc>
      </w:tr>
      <w:tr w:rsidR="00F7773C" w:rsidRPr="00EF0571" w:rsidTr="00F7773C">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F7773C" w:rsidRPr="00EF0571" w:rsidRDefault="00F7773C" w:rsidP="00F7773C">
            <w:pPr>
              <w:rPr>
                <w:rFonts w:eastAsia="Times New Roman" w:cs="Calibri"/>
                <w:b/>
                <w:bCs/>
                <w:color w:val="808080"/>
                <w:sz w:val="20"/>
                <w:szCs w:val="20"/>
                <w:lang w:eastAsia="fr-FR"/>
              </w:rPr>
            </w:pPr>
            <w:r w:rsidRPr="00EF0571">
              <w:rPr>
                <w:rFonts w:eastAsia="Times New Roman" w:cs="Calibri"/>
                <w:b/>
                <w:bCs/>
                <w:color w:val="808080"/>
                <w:sz w:val="20"/>
                <w:szCs w:val="20"/>
                <w:lang w:eastAsia="fr-FR"/>
              </w:rPr>
              <w:t>TOTAL</w:t>
            </w:r>
          </w:p>
        </w:tc>
        <w:tc>
          <w:tcPr>
            <w:tcW w:w="1400" w:type="dxa"/>
            <w:tcBorders>
              <w:top w:val="single" w:sz="4" w:space="0" w:color="auto"/>
              <w:left w:val="nil"/>
              <w:bottom w:val="single" w:sz="4" w:space="0" w:color="auto"/>
              <w:right w:val="single" w:sz="4" w:space="0" w:color="auto"/>
            </w:tcBorders>
            <w:shd w:val="clear" w:color="000000" w:fill="DDD9C4"/>
            <w:noWrap/>
            <w:vAlign w:val="bottom"/>
            <w:hideMark/>
          </w:tcPr>
          <w:p w:rsidR="00F7773C" w:rsidRPr="00EF0571" w:rsidRDefault="0055457A" w:rsidP="0055457A">
            <w:pPr>
              <w:jc w:val="right"/>
              <w:rPr>
                <w:rFonts w:eastAsia="Times New Roman" w:cs="Calibri"/>
                <w:b/>
                <w:bCs/>
                <w:color w:val="808080"/>
                <w:sz w:val="20"/>
                <w:szCs w:val="20"/>
                <w:lang w:eastAsia="fr-FR"/>
              </w:rPr>
            </w:pPr>
            <w:r>
              <w:rPr>
                <w:rFonts w:eastAsia="Times New Roman" w:cs="Calibri"/>
                <w:b/>
                <w:bCs/>
                <w:color w:val="808080"/>
                <w:sz w:val="20"/>
                <w:szCs w:val="20"/>
                <w:lang w:eastAsia="fr-FR"/>
              </w:rPr>
              <w:t>280</w:t>
            </w:r>
          </w:p>
        </w:tc>
      </w:tr>
    </w:tbl>
    <w:p w:rsidR="004109D4" w:rsidRPr="00F7773C" w:rsidRDefault="004109D4" w:rsidP="004109D4">
      <w:pPr>
        <w:spacing w:before="120"/>
        <w:ind w:left="2694"/>
        <w:jc w:val="both"/>
        <w:rPr>
          <w:rFonts w:asciiTheme="minorHAnsi" w:hAnsiTheme="minorHAnsi" w:cstheme="minorHAnsi"/>
          <w:sz w:val="18"/>
          <w:szCs w:val="18"/>
        </w:rPr>
      </w:pPr>
      <w:r w:rsidRPr="00F7773C">
        <w:rPr>
          <w:rFonts w:asciiTheme="minorHAnsi" w:hAnsiTheme="minorHAnsi" w:cstheme="minorHAnsi"/>
          <w:sz w:val="18"/>
          <w:szCs w:val="18"/>
        </w:rPr>
        <w:t>Nombre d’heures (HETD) dispensés au sein de la faculté</w:t>
      </w:r>
    </w:p>
    <w:p w:rsidR="00C232FF" w:rsidRDefault="003C59F2" w:rsidP="004109D4">
      <w:pPr>
        <w:ind w:left="2694"/>
        <w:jc w:val="both"/>
        <w:rPr>
          <w:rFonts w:asciiTheme="minorHAnsi" w:hAnsiTheme="minorHAnsi" w:cstheme="minorHAnsi"/>
        </w:rPr>
      </w:pPr>
      <w:r>
        <w:rPr>
          <w:rFonts w:asciiTheme="minorHAnsi" w:hAnsiTheme="minorHAnsi" w:cstheme="minorHAnsi"/>
          <w:sz w:val="18"/>
          <w:szCs w:val="18"/>
        </w:rPr>
        <w:t>(</w:t>
      </w:r>
      <w:proofErr w:type="gramStart"/>
      <w:r>
        <w:rPr>
          <w:rFonts w:asciiTheme="minorHAnsi" w:hAnsiTheme="minorHAnsi" w:cstheme="minorHAnsi"/>
          <w:sz w:val="18"/>
          <w:szCs w:val="18"/>
        </w:rPr>
        <w:t>hors</w:t>
      </w:r>
      <w:proofErr w:type="gramEnd"/>
      <w:r>
        <w:rPr>
          <w:rFonts w:asciiTheme="minorHAnsi" w:hAnsiTheme="minorHAnsi" w:cstheme="minorHAnsi"/>
          <w:sz w:val="18"/>
          <w:szCs w:val="18"/>
        </w:rPr>
        <w:t xml:space="preserve"> institut de démo</w:t>
      </w:r>
      <w:r w:rsidR="004109D4" w:rsidRPr="00F7773C">
        <w:rPr>
          <w:rFonts w:asciiTheme="minorHAnsi" w:hAnsiTheme="minorHAnsi" w:cstheme="minorHAnsi"/>
          <w:sz w:val="18"/>
          <w:szCs w:val="18"/>
        </w:rPr>
        <w:t>)</w:t>
      </w:r>
      <w:r>
        <w:rPr>
          <w:rFonts w:asciiTheme="minorHAnsi" w:hAnsiTheme="minorHAnsi" w:cstheme="minorHAnsi"/>
          <w:sz w:val="18"/>
          <w:szCs w:val="18"/>
        </w:rPr>
        <w:t xml:space="preserve">- </w:t>
      </w:r>
      <w:r w:rsidRPr="003C59F2">
        <w:rPr>
          <w:rFonts w:asciiTheme="minorHAnsi" w:hAnsiTheme="minorHAnsi" w:cstheme="minorHAnsi"/>
          <w:i/>
          <w:sz w:val="18"/>
          <w:szCs w:val="18"/>
        </w:rPr>
        <w:t xml:space="preserve">Source : Guide </w:t>
      </w:r>
      <w:proofErr w:type="spellStart"/>
      <w:r w:rsidRPr="003C59F2">
        <w:rPr>
          <w:rFonts w:asciiTheme="minorHAnsi" w:hAnsiTheme="minorHAnsi" w:cstheme="minorHAnsi"/>
          <w:i/>
          <w:sz w:val="18"/>
          <w:szCs w:val="18"/>
        </w:rPr>
        <w:t>péda</w:t>
      </w:r>
      <w:proofErr w:type="spellEnd"/>
      <w:r w:rsidRPr="003C59F2">
        <w:rPr>
          <w:rFonts w:asciiTheme="minorHAnsi" w:hAnsiTheme="minorHAnsi" w:cstheme="minorHAnsi"/>
          <w:i/>
          <w:sz w:val="18"/>
          <w:szCs w:val="18"/>
        </w:rPr>
        <w:t xml:space="preserve"> L et M</w:t>
      </w:r>
    </w:p>
    <w:p w:rsidR="00C232FF" w:rsidRDefault="00976288" w:rsidP="00590AC8">
      <w:pPr>
        <w:spacing w:before="120"/>
        <w:ind w:firstLine="426"/>
        <w:jc w:val="both"/>
        <w:rPr>
          <w:rFonts w:asciiTheme="minorHAnsi" w:hAnsiTheme="minorHAnsi" w:cstheme="minorHAnsi"/>
        </w:rPr>
      </w:pPr>
      <w:r>
        <w:rPr>
          <w:rFonts w:asciiTheme="minorHAnsi" w:hAnsiTheme="minorHAnsi" w:cstheme="minorHAnsi"/>
        </w:rPr>
        <w:t>La confrontation avec les données du quadriennal précé</w:t>
      </w:r>
      <w:r w:rsidR="00647354">
        <w:rPr>
          <w:rFonts w:asciiTheme="minorHAnsi" w:hAnsiTheme="minorHAnsi" w:cstheme="minorHAnsi"/>
        </w:rPr>
        <w:t>dent révèle une diminution de 28</w:t>
      </w:r>
      <w:r>
        <w:rPr>
          <w:rFonts w:asciiTheme="minorHAnsi" w:hAnsiTheme="minorHAnsi" w:cstheme="minorHAnsi"/>
        </w:rPr>
        <w:t xml:space="preserve"> % de la contribution des enseignants-chercheurs de l’institut de démographie dans les cursus proposés par la faculté des sciences sociales (en volume horaire). Cette forte diminution est à attribuer à la suppression de quelques options où les démographes étaient présents et surtout au départ à la retraite de Brigitte Fichet qui à elle seule, représentait</w:t>
      </w:r>
      <w:r w:rsidR="002D5901">
        <w:rPr>
          <w:rFonts w:asciiTheme="minorHAnsi" w:hAnsiTheme="minorHAnsi" w:cstheme="minorHAnsi"/>
        </w:rPr>
        <w:t xml:space="preserve"> près du ¼ de la contribution de l’institut de démographie.</w:t>
      </w:r>
    </w:p>
    <w:p w:rsidR="00590AC8" w:rsidRDefault="00590AC8" w:rsidP="009F3412">
      <w:pPr>
        <w:spacing w:before="120"/>
        <w:ind w:firstLine="426"/>
        <w:jc w:val="both"/>
        <w:rPr>
          <w:rFonts w:ascii="Arial" w:hAnsi="Arial" w:cs="Arial"/>
          <w:b/>
        </w:rPr>
      </w:pPr>
    </w:p>
    <w:p w:rsidR="002D5901" w:rsidRDefault="002D5901" w:rsidP="00573C3D">
      <w:pPr>
        <w:spacing w:before="120"/>
        <w:jc w:val="both"/>
        <w:rPr>
          <w:rFonts w:ascii="Arial" w:hAnsi="Arial" w:cs="Arial"/>
          <w:b/>
        </w:rPr>
      </w:pPr>
    </w:p>
    <w:p w:rsidR="009F3412" w:rsidRDefault="00590AC8" w:rsidP="00EF0571">
      <w:pPr>
        <w:spacing w:before="120" w:after="240"/>
        <w:ind w:firstLine="425"/>
        <w:jc w:val="both"/>
        <w:rPr>
          <w:b/>
        </w:rPr>
      </w:pPr>
      <w:r>
        <w:rPr>
          <w:rFonts w:ascii="Arial" w:hAnsi="Arial" w:cs="Arial"/>
          <w:b/>
        </w:rPr>
        <w:t xml:space="preserve">● </w:t>
      </w:r>
      <w:r w:rsidR="009F3412" w:rsidRPr="00F1231C">
        <w:rPr>
          <w:b/>
        </w:rPr>
        <w:t>Nombre d’étudiants :</w:t>
      </w:r>
    </w:p>
    <w:p w:rsidR="003C59F2" w:rsidRDefault="003C59F2" w:rsidP="003C59F2">
      <w:pPr>
        <w:jc w:val="both"/>
      </w:pPr>
    </w:p>
    <w:tbl>
      <w:tblPr>
        <w:tblW w:w="8540" w:type="dxa"/>
        <w:tblInd w:w="55" w:type="dxa"/>
        <w:tblCellMar>
          <w:left w:w="70" w:type="dxa"/>
          <w:right w:w="70" w:type="dxa"/>
        </w:tblCellMar>
        <w:tblLook w:val="04A0" w:firstRow="1" w:lastRow="0" w:firstColumn="1" w:lastColumn="0" w:noHBand="0" w:noVBand="1"/>
      </w:tblPr>
      <w:tblGrid>
        <w:gridCol w:w="1120"/>
        <w:gridCol w:w="1060"/>
        <w:gridCol w:w="1060"/>
        <w:gridCol w:w="1060"/>
        <w:gridCol w:w="1060"/>
        <w:gridCol w:w="1060"/>
        <w:gridCol w:w="1060"/>
        <w:gridCol w:w="1060"/>
      </w:tblGrid>
      <w:tr w:rsidR="003C59F2" w:rsidRPr="003C59F2" w:rsidTr="003C59F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59F2" w:rsidRPr="003C59F2" w:rsidRDefault="003C59F2" w:rsidP="003C59F2">
            <w:pPr>
              <w:rPr>
                <w:rFonts w:eastAsia="Times New Roman" w:cs="Calibri"/>
                <w:color w:val="000000"/>
                <w:sz w:val="20"/>
                <w:szCs w:val="20"/>
                <w:lang w:eastAsia="fr-FR"/>
              </w:rPr>
            </w:pPr>
            <w:r w:rsidRPr="003C59F2">
              <w:rPr>
                <w:rFonts w:eastAsia="Times New Roman" w:cs="Calibri"/>
                <w:color w:val="000000"/>
                <w:sz w:val="20"/>
                <w:szCs w:val="20"/>
                <w:lang w:eastAsia="fr-FR"/>
              </w:rPr>
              <w:t>Formations</w:t>
            </w:r>
          </w:p>
        </w:tc>
        <w:tc>
          <w:tcPr>
            <w:tcW w:w="1060" w:type="dxa"/>
            <w:tcBorders>
              <w:top w:val="single" w:sz="4" w:space="0" w:color="auto"/>
              <w:left w:val="nil"/>
              <w:bottom w:val="single" w:sz="4" w:space="0" w:color="auto"/>
              <w:right w:val="single" w:sz="4" w:space="0" w:color="auto"/>
            </w:tcBorders>
            <w:shd w:val="clear" w:color="000000" w:fill="B8CCE4"/>
            <w:noWrap/>
            <w:vAlign w:val="bottom"/>
            <w:hideMark/>
          </w:tcPr>
          <w:p w:rsidR="003C59F2" w:rsidRPr="003C59F2" w:rsidRDefault="003C59F2" w:rsidP="003C59F2">
            <w:pPr>
              <w:jc w:val="center"/>
              <w:rPr>
                <w:rFonts w:eastAsia="Times New Roman" w:cs="Calibri"/>
                <w:color w:val="000000"/>
                <w:sz w:val="20"/>
                <w:szCs w:val="20"/>
                <w:lang w:eastAsia="fr-FR"/>
              </w:rPr>
            </w:pPr>
            <w:r w:rsidRPr="003C59F2">
              <w:rPr>
                <w:rFonts w:eastAsia="Times New Roman" w:cs="Calibri"/>
                <w:color w:val="000000"/>
                <w:sz w:val="20"/>
                <w:szCs w:val="20"/>
                <w:lang w:eastAsia="fr-FR"/>
              </w:rPr>
              <w:t>2007-2008</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3C59F2" w:rsidRPr="003C59F2" w:rsidRDefault="003C59F2" w:rsidP="003C59F2">
            <w:pPr>
              <w:jc w:val="center"/>
              <w:rPr>
                <w:rFonts w:eastAsia="Times New Roman" w:cs="Calibri"/>
                <w:color w:val="000000"/>
                <w:sz w:val="20"/>
                <w:szCs w:val="20"/>
                <w:lang w:eastAsia="fr-FR"/>
              </w:rPr>
            </w:pPr>
            <w:r w:rsidRPr="003C59F2">
              <w:rPr>
                <w:rFonts w:eastAsia="Times New Roman" w:cs="Calibri"/>
                <w:color w:val="000000"/>
                <w:sz w:val="20"/>
                <w:szCs w:val="20"/>
                <w:lang w:eastAsia="fr-FR"/>
              </w:rPr>
              <w:t>2008-2009</w:t>
            </w:r>
          </w:p>
        </w:tc>
        <w:tc>
          <w:tcPr>
            <w:tcW w:w="1060" w:type="dxa"/>
            <w:tcBorders>
              <w:top w:val="single" w:sz="4" w:space="0" w:color="auto"/>
              <w:left w:val="nil"/>
              <w:bottom w:val="single" w:sz="4" w:space="0" w:color="auto"/>
              <w:right w:val="single" w:sz="4" w:space="0" w:color="auto"/>
            </w:tcBorders>
            <w:shd w:val="clear" w:color="000000" w:fill="B8CCE4"/>
            <w:noWrap/>
            <w:vAlign w:val="bottom"/>
            <w:hideMark/>
          </w:tcPr>
          <w:p w:rsidR="003C59F2" w:rsidRPr="003C59F2" w:rsidRDefault="003C59F2" w:rsidP="003C59F2">
            <w:pPr>
              <w:jc w:val="center"/>
              <w:rPr>
                <w:rFonts w:eastAsia="Times New Roman" w:cs="Calibri"/>
                <w:color w:val="000000"/>
                <w:sz w:val="20"/>
                <w:szCs w:val="20"/>
                <w:lang w:eastAsia="fr-FR"/>
              </w:rPr>
            </w:pPr>
            <w:r w:rsidRPr="003C59F2">
              <w:rPr>
                <w:rFonts w:eastAsia="Times New Roman" w:cs="Calibri"/>
                <w:color w:val="000000"/>
                <w:sz w:val="20"/>
                <w:szCs w:val="20"/>
                <w:lang w:eastAsia="fr-FR"/>
              </w:rPr>
              <w:t>2009-2010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3C59F2" w:rsidRPr="003C59F2" w:rsidRDefault="003C59F2" w:rsidP="003C59F2">
            <w:pPr>
              <w:jc w:val="center"/>
              <w:rPr>
                <w:rFonts w:eastAsia="Times New Roman" w:cs="Calibri"/>
                <w:color w:val="000000"/>
                <w:sz w:val="20"/>
                <w:szCs w:val="20"/>
                <w:lang w:eastAsia="fr-FR"/>
              </w:rPr>
            </w:pPr>
            <w:r w:rsidRPr="003C59F2">
              <w:rPr>
                <w:rFonts w:eastAsia="Times New Roman" w:cs="Calibri"/>
                <w:color w:val="000000"/>
                <w:sz w:val="20"/>
                <w:szCs w:val="20"/>
                <w:lang w:eastAsia="fr-FR"/>
              </w:rPr>
              <w:t>2010-2011</w:t>
            </w:r>
          </w:p>
        </w:tc>
        <w:tc>
          <w:tcPr>
            <w:tcW w:w="1060" w:type="dxa"/>
            <w:tcBorders>
              <w:top w:val="single" w:sz="4" w:space="0" w:color="auto"/>
              <w:left w:val="nil"/>
              <w:bottom w:val="single" w:sz="4" w:space="0" w:color="auto"/>
              <w:right w:val="single" w:sz="4" w:space="0" w:color="auto"/>
            </w:tcBorders>
            <w:shd w:val="clear" w:color="000000" w:fill="B8CCE4"/>
            <w:noWrap/>
            <w:vAlign w:val="bottom"/>
            <w:hideMark/>
          </w:tcPr>
          <w:p w:rsidR="003C59F2" w:rsidRPr="003C59F2" w:rsidRDefault="003C59F2" w:rsidP="003C59F2">
            <w:pPr>
              <w:jc w:val="center"/>
              <w:rPr>
                <w:rFonts w:eastAsia="Times New Roman" w:cs="Calibri"/>
                <w:color w:val="000000"/>
                <w:sz w:val="20"/>
                <w:szCs w:val="20"/>
                <w:lang w:eastAsia="fr-FR"/>
              </w:rPr>
            </w:pPr>
            <w:r w:rsidRPr="003C59F2">
              <w:rPr>
                <w:rFonts w:eastAsia="Times New Roman" w:cs="Calibri"/>
                <w:color w:val="000000"/>
                <w:sz w:val="20"/>
                <w:szCs w:val="20"/>
                <w:lang w:eastAsia="fr-FR"/>
              </w:rPr>
              <w:t>2011-2012</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3C59F2" w:rsidRPr="003C59F2" w:rsidRDefault="003C59F2" w:rsidP="003C59F2">
            <w:pPr>
              <w:jc w:val="center"/>
              <w:rPr>
                <w:rFonts w:eastAsia="Times New Roman" w:cs="Calibri"/>
                <w:color w:val="000000"/>
                <w:sz w:val="20"/>
                <w:szCs w:val="20"/>
                <w:lang w:eastAsia="fr-FR"/>
              </w:rPr>
            </w:pPr>
            <w:r w:rsidRPr="003C59F2">
              <w:rPr>
                <w:rFonts w:eastAsia="Times New Roman" w:cs="Calibri"/>
                <w:color w:val="000000"/>
                <w:sz w:val="20"/>
                <w:szCs w:val="20"/>
                <w:lang w:eastAsia="fr-FR"/>
              </w:rPr>
              <w:t>2012-2013</w:t>
            </w:r>
          </w:p>
        </w:tc>
        <w:tc>
          <w:tcPr>
            <w:tcW w:w="1060" w:type="dxa"/>
            <w:tcBorders>
              <w:top w:val="single" w:sz="4" w:space="0" w:color="auto"/>
              <w:left w:val="nil"/>
              <w:bottom w:val="single" w:sz="4" w:space="0" w:color="auto"/>
              <w:right w:val="single" w:sz="4" w:space="0" w:color="auto"/>
            </w:tcBorders>
            <w:shd w:val="clear" w:color="000000" w:fill="B8CCE4"/>
            <w:noWrap/>
            <w:vAlign w:val="bottom"/>
            <w:hideMark/>
          </w:tcPr>
          <w:p w:rsidR="003C59F2" w:rsidRPr="003C59F2" w:rsidRDefault="003C59F2" w:rsidP="003C59F2">
            <w:pPr>
              <w:jc w:val="center"/>
              <w:rPr>
                <w:rFonts w:eastAsia="Times New Roman" w:cs="Calibri"/>
                <w:color w:val="000000"/>
                <w:sz w:val="20"/>
                <w:szCs w:val="20"/>
                <w:lang w:eastAsia="fr-FR"/>
              </w:rPr>
            </w:pPr>
            <w:r w:rsidRPr="003C59F2">
              <w:rPr>
                <w:rFonts w:eastAsia="Times New Roman" w:cs="Calibri"/>
                <w:color w:val="000000"/>
                <w:sz w:val="20"/>
                <w:szCs w:val="20"/>
                <w:lang w:eastAsia="fr-FR"/>
              </w:rPr>
              <w:t>2013-2014</w:t>
            </w:r>
          </w:p>
        </w:tc>
      </w:tr>
      <w:tr w:rsidR="003C59F2" w:rsidRPr="003C59F2" w:rsidTr="003C59F2">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3C59F2" w:rsidRPr="003C59F2" w:rsidRDefault="003C59F2" w:rsidP="003C59F2">
            <w:pPr>
              <w:rPr>
                <w:rFonts w:eastAsia="Times New Roman" w:cs="Calibri"/>
                <w:b/>
                <w:bCs/>
                <w:color w:val="000000"/>
                <w:sz w:val="20"/>
                <w:szCs w:val="20"/>
                <w:lang w:eastAsia="fr-FR"/>
              </w:rPr>
            </w:pPr>
            <w:r w:rsidRPr="003C59F2">
              <w:rPr>
                <w:rFonts w:eastAsia="Times New Roman" w:cs="Calibri"/>
                <w:b/>
                <w:bCs/>
                <w:color w:val="000000"/>
                <w:sz w:val="20"/>
                <w:szCs w:val="20"/>
                <w:lang w:eastAsia="fr-FR"/>
              </w:rPr>
              <w:t>Licence</w:t>
            </w:r>
          </w:p>
        </w:tc>
        <w:tc>
          <w:tcPr>
            <w:tcW w:w="1060" w:type="dxa"/>
            <w:tcBorders>
              <w:top w:val="nil"/>
              <w:left w:val="nil"/>
              <w:bottom w:val="single" w:sz="4" w:space="0" w:color="auto"/>
              <w:right w:val="single" w:sz="4" w:space="0" w:color="auto"/>
            </w:tcBorders>
            <w:shd w:val="clear" w:color="000000" w:fill="DCE6F1"/>
            <w:noWrap/>
            <w:vAlign w:val="bottom"/>
            <w:hideMark/>
          </w:tcPr>
          <w:p w:rsidR="003C59F2" w:rsidRPr="003C59F2" w:rsidRDefault="003C59F2" w:rsidP="003C59F2">
            <w:pPr>
              <w:jc w:val="center"/>
              <w:rPr>
                <w:rFonts w:eastAsia="Times New Roman" w:cs="Calibri"/>
                <w:color w:val="000000"/>
                <w:sz w:val="20"/>
                <w:szCs w:val="20"/>
                <w:lang w:eastAsia="fr-FR"/>
              </w:rPr>
            </w:pPr>
            <w:r w:rsidRPr="003C59F2">
              <w:rPr>
                <w:rFonts w:eastAsia="Times New Roman" w:cs="Calibri"/>
                <w:color w:val="000000"/>
                <w:sz w:val="20"/>
                <w:szCs w:val="20"/>
                <w:lang w:eastAsia="fr-FR"/>
              </w:rPr>
              <w:t>25</w:t>
            </w:r>
          </w:p>
        </w:tc>
        <w:tc>
          <w:tcPr>
            <w:tcW w:w="1060" w:type="dxa"/>
            <w:tcBorders>
              <w:top w:val="nil"/>
              <w:left w:val="nil"/>
              <w:bottom w:val="single" w:sz="4" w:space="0" w:color="auto"/>
              <w:right w:val="single" w:sz="4" w:space="0" w:color="auto"/>
            </w:tcBorders>
            <w:shd w:val="clear" w:color="auto" w:fill="auto"/>
            <w:noWrap/>
            <w:vAlign w:val="bottom"/>
            <w:hideMark/>
          </w:tcPr>
          <w:p w:rsidR="003C59F2" w:rsidRPr="003C59F2" w:rsidRDefault="003C59F2" w:rsidP="003C59F2">
            <w:pPr>
              <w:jc w:val="center"/>
              <w:rPr>
                <w:rFonts w:eastAsia="Times New Roman" w:cs="Calibri"/>
                <w:color w:val="000000"/>
                <w:sz w:val="20"/>
                <w:szCs w:val="20"/>
                <w:lang w:eastAsia="fr-FR"/>
              </w:rPr>
            </w:pPr>
            <w:r w:rsidRPr="003C59F2">
              <w:rPr>
                <w:rFonts w:eastAsia="Times New Roman" w:cs="Calibri"/>
                <w:color w:val="000000"/>
                <w:sz w:val="20"/>
                <w:szCs w:val="20"/>
                <w:lang w:eastAsia="fr-FR"/>
              </w:rPr>
              <w:t>23</w:t>
            </w:r>
          </w:p>
        </w:tc>
        <w:tc>
          <w:tcPr>
            <w:tcW w:w="1060" w:type="dxa"/>
            <w:tcBorders>
              <w:top w:val="nil"/>
              <w:left w:val="nil"/>
              <w:bottom w:val="single" w:sz="4" w:space="0" w:color="auto"/>
              <w:right w:val="single" w:sz="4" w:space="0" w:color="auto"/>
            </w:tcBorders>
            <w:shd w:val="clear" w:color="000000" w:fill="DCE6F1"/>
            <w:noWrap/>
            <w:vAlign w:val="bottom"/>
            <w:hideMark/>
          </w:tcPr>
          <w:p w:rsidR="003C59F2" w:rsidRPr="003C59F2" w:rsidRDefault="003C59F2" w:rsidP="003C59F2">
            <w:pPr>
              <w:jc w:val="center"/>
              <w:rPr>
                <w:rFonts w:eastAsia="Times New Roman" w:cs="Calibri"/>
                <w:color w:val="000000"/>
                <w:sz w:val="20"/>
                <w:szCs w:val="20"/>
                <w:lang w:eastAsia="fr-FR"/>
              </w:rPr>
            </w:pPr>
            <w:r w:rsidRPr="003C59F2">
              <w:rPr>
                <w:rFonts w:eastAsia="Times New Roman" w:cs="Calibri"/>
                <w:color w:val="000000"/>
                <w:sz w:val="20"/>
                <w:szCs w:val="20"/>
                <w:lang w:eastAsia="fr-FR"/>
              </w:rPr>
              <w:t>14</w:t>
            </w:r>
          </w:p>
        </w:tc>
        <w:tc>
          <w:tcPr>
            <w:tcW w:w="1060" w:type="dxa"/>
            <w:tcBorders>
              <w:top w:val="nil"/>
              <w:left w:val="nil"/>
              <w:bottom w:val="single" w:sz="4" w:space="0" w:color="auto"/>
              <w:right w:val="single" w:sz="4" w:space="0" w:color="auto"/>
            </w:tcBorders>
            <w:shd w:val="clear" w:color="auto" w:fill="auto"/>
            <w:noWrap/>
            <w:vAlign w:val="bottom"/>
            <w:hideMark/>
          </w:tcPr>
          <w:p w:rsidR="003C59F2" w:rsidRPr="003C59F2" w:rsidRDefault="003C59F2" w:rsidP="003C59F2">
            <w:pPr>
              <w:jc w:val="center"/>
              <w:rPr>
                <w:rFonts w:eastAsia="Times New Roman" w:cs="Calibri"/>
                <w:color w:val="000000"/>
                <w:sz w:val="20"/>
                <w:szCs w:val="20"/>
                <w:lang w:eastAsia="fr-FR"/>
              </w:rPr>
            </w:pPr>
            <w:r w:rsidRPr="003C59F2">
              <w:rPr>
                <w:rFonts w:eastAsia="Times New Roman" w:cs="Calibri"/>
                <w:color w:val="000000"/>
                <w:sz w:val="20"/>
                <w:szCs w:val="20"/>
                <w:lang w:eastAsia="fr-FR"/>
              </w:rPr>
              <w:t>18</w:t>
            </w:r>
          </w:p>
        </w:tc>
        <w:tc>
          <w:tcPr>
            <w:tcW w:w="1060" w:type="dxa"/>
            <w:tcBorders>
              <w:top w:val="nil"/>
              <w:left w:val="nil"/>
              <w:bottom w:val="single" w:sz="4" w:space="0" w:color="auto"/>
              <w:right w:val="single" w:sz="4" w:space="0" w:color="auto"/>
            </w:tcBorders>
            <w:shd w:val="clear" w:color="000000" w:fill="DCE6F1"/>
            <w:noWrap/>
            <w:vAlign w:val="bottom"/>
            <w:hideMark/>
          </w:tcPr>
          <w:p w:rsidR="003C59F2" w:rsidRPr="003C59F2" w:rsidRDefault="003C59F2" w:rsidP="003C59F2">
            <w:pPr>
              <w:jc w:val="center"/>
              <w:rPr>
                <w:rFonts w:eastAsia="Times New Roman" w:cs="Calibri"/>
                <w:color w:val="000000"/>
                <w:sz w:val="20"/>
                <w:szCs w:val="20"/>
                <w:lang w:eastAsia="fr-FR"/>
              </w:rPr>
            </w:pPr>
            <w:r w:rsidRPr="003C59F2">
              <w:rPr>
                <w:rFonts w:eastAsia="Times New Roman" w:cs="Calibri"/>
                <w:color w:val="000000"/>
                <w:sz w:val="20"/>
                <w:szCs w:val="20"/>
                <w:lang w:eastAsia="fr-FR"/>
              </w:rPr>
              <w:t>22</w:t>
            </w:r>
          </w:p>
        </w:tc>
        <w:tc>
          <w:tcPr>
            <w:tcW w:w="1060" w:type="dxa"/>
            <w:tcBorders>
              <w:top w:val="nil"/>
              <w:left w:val="nil"/>
              <w:bottom w:val="single" w:sz="4" w:space="0" w:color="auto"/>
              <w:right w:val="single" w:sz="4" w:space="0" w:color="auto"/>
            </w:tcBorders>
            <w:shd w:val="clear" w:color="auto" w:fill="auto"/>
            <w:noWrap/>
            <w:vAlign w:val="bottom"/>
            <w:hideMark/>
          </w:tcPr>
          <w:p w:rsidR="003C59F2" w:rsidRPr="003C59F2" w:rsidRDefault="003C59F2" w:rsidP="003C59F2">
            <w:pPr>
              <w:jc w:val="center"/>
              <w:rPr>
                <w:rFonts w:eastAsia="Times New Roman" w:cs="Calibri"/>
                <w:color w:val="000000"/>
                <w:sz w:val="20"/>
                <w:szCs w:val="20"/>
                <w:lang w:eastAsia="fr-FR"/>
              </w:rPr>
            </w:pPr>
            <w:r w:rsidRPr="003C59F2">
              <w:rPr>
                <w:rFonts w:eastAsia="Times New Roman" w:cs="Calibri"/>
                <w:color w:val="000000"/>
                <w:sz w:val="20"/>
                <w:szCs w:val="20"/>
                <w:lang w:eastAsia="fr-FR"/>
              </w:rPr>
              <w:t>22</w:t>
            </w:r>
          </w:p>
        </w:tc>
        <w:tc>
          <w:tcPr>
            <w:tcW w:w="1060" w:type="dxa"/>
            <w:tcBorders>
              <w:top w:val="nil"/>
              <w:left w:val="nil"/>
              <w:bottom w:val="single" w:sz="4" w:space="0" w:color="auto"/>
              <w:right w:val="single" w:sz="4" w:space="0" w:color="auto"/>
            </w:tcBorders>
            <w:shd w:val="clear" w:color="000000" w:fill="DCE6F1"/>
            <w:noWrap/>
            <w:vAlign w:val="bottom"/>
            <w:hideMark/>
          </w:tcPr>
          <w:p w:rsidR="003C59F2" w:rsidRPr="003C59F2" w:rsidRDefault="003C59F2" w:rsidP="003C59F2">
            <w:pPr>
              <w:jc w:val="center"/>
              <w:rPr>
                <w:rFonts w:eastAsia="Times New Roman" w:cs="Calibri"/>
                <w:color w:val="000000"/>
                <w:sz w:val="20"/>
                <w:szCs w:val="20"/>
                <w:lang w:eastAsia="fr-FR"/>
              </w:rPr>
            </w:pPr>
            <w:r w:rsidRPr="003C59F2">
              <w:rPr>
                <w:rFonts w:eastAsia="Times New Roman" w:cs="Calibri"/>
                <w:color w:val="000000"/>
                <w:sz w:val="20"/>
                <w:szCs w:val="20"/>
                <w:lang w:eastAsia="fr-FR"/>
              </w:rPr>
              <w:t>19</w:t>
            </w:r>
          </w:p>
        </w:tc>
      </w:tr>
      <w:tr w:rsidR="003C59F2" w:rsidRPr="003C59F2" w:rsidTr="003C59F2">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3C59F2" w:rsidRPr="003C59F2" w:rsidRDefault="003C59F2" w:rsidP="003C59F2">
            <w:pPr>
              <w:rPr>
                <w:rFonts w:eastAsia="Times New Roman" w:cs="Calibri"/>
                <w:b/>
                <w:bCs/>
                <w:color w:val="000000"/>
                <w:sz w:val="20"/>
                <w:szCs w:val="20"/>
                <w:lang w:eastAsia="fr-FR"/>
              </w:rPr>
            </w:pPr>
            <w:r w:rsidRPr="003C59F2">
              <w:rPr>
                <w:rFonts w:eastAsia="Times New Roman" w:cs="Calibri"/>
                <w:b/>
                <w:bCs/>
                <w:color w:val="000000"/>
                <w:sz w:val="20"/>
                <w:szCs w:val="20"/>
                <w:lang w:eastAsia="fr-FR"/>
              </w:rPr>
              <w:t>Master 1</w:t>
            </w:r>
          </w:p>
        </w:tc>
        <w:tc>
          <w:tcPr>
            <w:tcW w:w="1060" w:type="dxa"/>
            <w:tcBorders>
              <w:top w:val="nil"/>
              <w:left w:val="nil"/>
              <w:bottom w:val="single" w:sz="4" w:space="0" w:color="auto"/>
              <w:right w:val="single" w:sz="4" w:space="0" w:color="auto"/>
            </w:tcBorders>
            <w:shd w:val="clear" w:color="000000" w:fill="DCE6F1"/>
            <w:noWrap/>
            <w:vAlign w:val="bottom"/>
            <w:hideMark/>
          </w:tcPr>
          <w:p w:rsidR="003C59F2" w:rsidRPr="003C59F2" w:rsidRDefault="003C59F2" w:rsidP="003C59F2">
            <w:pPr>
              <w:jc w:val="center"/>
              <w:rPr>
                <w:rFonts w:eastAsia="Times New Roman" w:cs="Calibri"/>
                <w:color w:val="000000"/>
                <w:sz w:val="20"/>
                <w:szCs w:val="20"/>
                <w:lang w:eastAsia="fr-FR"/>
              </w:rPr>
            </w:pPr>
            <w:r w:rsidRPr="003C59F2">
              <w:rPr>
                <w:rFonts w:eastAsia="Times New Roman" w:cs="Calibri"/>
                <w:color w:val="000000"/>
                <w:sz w:val="20"/>
                <w:szCs w:val="20"/>
                <w:lang w:eastAsia="fr-FR"/>
              </w:rPr>
              <w:t>23</w:t>
            </w:r>
          </w:p>
        </w:tc>
        <w:tc>
          <w:tcPr>
            <w:tcW w:w="1060" w:type="dxa"/>
            <w:tcBorders>
              <w:top w:val="nil"/>
              <w:left w:val="nil"/>
              <w:bottom w:val="single" w:sz="4" w:space="0" w:color="auto"/>
              <w:right w:val="single" w:sz="4" w:space="0" w:color="auto"/>
            </w:tcBorders>
            <w:shd w:val="clear" w:color="auto" w:fill="auto"/>
            <w:noWrap/>
            <w:vAlign w:val="bottom"/>
            <w:hideMark/>
          </w:tcPr>
          <w:p w:rsidR="003C59F2" w:rsidRPr="003C59F2" w:rsidRDefault="003C59F2" w:rsidP="003C59F2">
            <w:pPr>
              <w:jc w:val="center"/>
              <w:rPr>
                <w:rFonts w:eastAsia="Times New Roman" w:cs="Calibri"/>
                <w:color w:val="000000"/>
                <w:sz w:val="20"/>
                <w:szCs w:val="20"/>
                <w:lang w:eastAsia="fr-FR"/>
              </w:rPr>
            </w:pPr>
            <w:r w:rsidRPr="003C59F2">
              <w:rPr>
                <w:rFonts w:eastAsia="Times New Roman" w:cs="Calibri"/>
                <w:color w:val="000000"/>
                <w:sz w:val="20"/>
                <w:szCs w:val="20"/>
                <w:lang w:eastAsia="fr-FR"/>
              </w:rPr>
              <w:t>24</w:t>
            </w:r>
          </w:p>
        </w:tc>
        <w:tc>
          <w:tcPr>
            <w:tcW w:w="1060" w:type="dxa"/>
            <w:tcBorders>
              <w:top w:val="nil"/>
              <w:left w:val="nil"/>
              <w:bottom w:val="single" w:sz="4" w:space="0" w:color="auto"/>
              <w:right w:val="single" w:sz="4" w:space="0" w:color="auto"/>
            </w:tcBorders>
            <w:shd w:val="clear" w:color="000000" w:fill="DCE6F1"/>
            <w:noWrap/>
            <w:vAlign w:val="bottom"/>
            <w:hideMark/>
          </w:tcPr>
          <w:p w:rsidR="003C59F2" w:rsidRPr="003C59F2" w:rsidRDefault="003C59F2" w:rsidP="003C59F2">
            <w:pPr>
              <w:jc w:val="center"/>
              <w:rPr>
                <w:rFonts w:eastAsia="Times New Roman" w:cs="Calibri"/>
                <w:color w:val="000000"/>
                <w:sz w:val="20"/>
                <w:szCs w:val="20"/>
                <w:lang w:eastAsia="fr-FR"/>
              </w:rPr>
            </w:pPr>
            <w:r w:rsidRPr="003C59F2">
              <w:rPr>
                <w:rFonts w:eastAsia="Times New Roman" w:cs="Calibri"/>
                <w:color w:val="000000"/>
                <w:sz w:val="20"/>
                <w:szCs w:val="20"/>
                <w:lang w:eastAsia="fr-FR"/>
              </w:rPr>
              <w:t>21</w:t>
            </w:r>
          </w:p>
        </w:tc>
        <w:tc>
          <w:tcPr>
            <w:tcW w:w="1060" w:type="dxa"/>
            <w:tcBorders>
              <w:top w:val="nil"/>
              <w:left w:val="nil"/>
              <w:bottom w:val="single" w:sz="4" w:space="0" w:color="auto"/>
              <w:right w:val="single" w:sz="4" w:space="0" w:color="auto"/>
            </w:tcBorders>
            <w:shd w:val="clear" w:color="auto" w:fill="auto"/>
            <w:noWrap/>
            <w:vAlign w:val="bottom"/>
            <w:hideMark/>
          </w:tcPr>
          <w:p w:rsidR="003C59F2" w:rsidRPr="003C59F2" w:rsidRDefault="003C59F2" w:rsidP="003C59F2">
            <w:pPr>
              <w:jc w:val="center"/>
              <w:rPr>
                <w:rFonts w:eastAsia="Times New Roman" w:cs="Calibri"/>
                <w:color w:val="000000"/>
                <w:sz w:val="20"/>
                <w:szCs w:val="20"/>
                <w:lang w:eastAsia="fr-FR"/>
              </w:rPr>
            </w:pPr>
            <w:r w:rsidRPr="003C59F2">
              <w:rPr>
                <w:rFonts w:eastAsia="Times New Roman" w:cs="Calibri"/>
                <w:color w:val="000000"/>
                <w:sz w:val="20"/>
                <w:szCs w:val="20"/>
                <w:lang w:eastAsia="fr-FR"/>
              </w:rPr>
              <w:t>20</w:t>
            </w:r>
          </w:p>
        </w:tc>
        <w:tc>
          <w:tcPr>
            <w:tcW w:w="1060" w:type="dxa"/>
            <w:tcBorders>
              <w:top w:val="nil"/>
              <w:left w:val="nil"/>
              <w:bottom w:val="single" w:sz="4" w:space="0" w:color="auto"/>
              <w:right w:val="single" w:sz="4" w:space="0" w:color="auto"/>
            </w:tcBorders>
            <w:shd w:val="clear" w:color="000000" w:fill="DCE6F1"/>
            <w:noWrap/>
            <w:vAlign w:val="bottom"/>
            <w:hideMark/>
          </w:tcPr>
          <w:p w:rsidR="003C59F2" w:rsidRPr="003C59F2" w:rsidRDefault="003C59F2" w:rsidP="003C59F2">
            <w:pPr>
              <w:jc w:val="center"/>
              <w:rPr>
                <w:rFonts w:eastAsia="Times New Roman" w:cs="Calibri"/>
                <w:color w:val="000000"/>
                <w:sz w:val="20"/>
                <w:szCs w:val="20"/>
                <w:lang w:eastAsia="fr-FR"/>
              </w:rPr>
            </w:pPr>
            <w:r w:rsidRPr="003C59F2">
              <w:rPr>
                <w:rFonts w:eastAsia="Times New Roman" w:cs="Calibri"/>
                <w:color w:val="000000"/>
                <w:sz w:val="20"/>
                <w:szCs w:val="20"/>
                <w:lang w:eastAsia="fr-FR"/>
              </w:rPr>
              <w:t>22</w:t>
            </w:r>
          </w:p>
        </w:tc>
        <w:tc>
          <w:tcPr>
            <w:tcW w:w="1060" w:type="dxa"/>
            <w:tcBorders>
              <w:top w:val="nil"/>
              <w:left w:val="nil"/>
              <w:bottom w:val="single" w:sz="4" w:space="0" w:color="auto"/>
              <w:right w:val="single" w:sz="4" w:space="0" w:color="auto"/>
            </w:tcBorders>
            <w:shd w:val="clear" w:color="auto" w:fill="auto"/>
            <w:noWrap/>
            <w:vAlign w:val="bottom"/>
            <w:hideMark/>
          </w:tcPr>
          <w:p w:rsidR="003C59F2" w:rsidRPr="003C59F2" w:rsidRDefault="003C59F2" w:rsidP="003C59F2">
            <w:pPr>
              <w:jc w:val="center"/>
              <w:rPr>
                <w:rFonts w:eastAsia="Times New Roman" w:cs="Calibri"/>
                <w:color w:val="000000"/>
                <w:sz w:val="20"/>
                <w:szCs w:val="20"/>
                <w:lang w:eastAsia="fr-FR"/>
              </w:rPr>
            </w:pPr>
            <w:r w:rsidRPr="003C59F2">
              <w:rPr>
                <w:rFonts w:eastAsia="Times New Roman" w:cs="Calibri"/>
                <w:color w:val="000000"/>
                <w:sz w:val="20"/>
                <w:szCs w:val="20"/>
                <w:lang w:eastAsia="fr-FR"/>
              </w:rPr>
              <w:t>28</w:t>
            </w:r>
          </w:p>
        </w:tc>
        <w:tc>
          <w:tcPr>
            <w:tcW w:w="1060" w:type="dxa"/>
            <w:tcBorders>
              <w:top w:val="nil"/>
              <w:left w:val="nil"/>
              <w:bottom w:val="single" w:sz="4" w:space="0" w:color="auto"/>
              <w:right w:val="single" w:sz="4" w:space="0" w:color="auto"/>
            </w:tcBorders>
            <w:shd w:val="clear" w:color="000000" w:fill="DCE6F1"/>
            <w:noWrap/>
            <w:vAlign w:val="bottom"/>
            <w:hideMark/>
          </w:tcPr>
          <w:p w:rsidR="003C59F2" w:rsidRPr="003C59F2" w:rsidRDefault="003C59F2" w:rsidP="003C59F2">
            <w:pPr>
              <w:jc w:val="center"/>
              <w:rPr>
                <w:rFonts w:eastAsia="Times New Roman" w:cs="Calibri"/>
                <w:color w:val="000000"/>
                <w:sz w:val="20"/>
                <w:szCs w:val="20"/>
                <w:lang w:eastAsia="fr-FR"/>
              </w:rPr>
            </w:pPr>
            <w:r w:rsidRPr="003C59F2">
              <w:rPr>
                <w:rFonts w:eastAsia="Times New Roman" w:cs="Calibri"/>
                <w:color w:val="000000"/>
                <w:sz w:val="20"/>
                <w:szCs w:val="20"/>
                <w:lang w:eastAsia="fr-FR"/>
              </w:rPr>
              <w:t>25</w:t>
            </w:r>
          </w:p>
        </w:tc>
      </w:tr>
      <w:tr w:rsidR="003C59F2" w:rsidRPr="003C59F2" w:rsidTr="003C59F2">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3C59F2" w:rsidRPr="003C59F2" w:rsidRDefault="003C59F2" w:rsidP="003C59F2">
            <w:pPr>
              <w:rPr>
                <w:rFonts w:eastAsia="Times New Roman" w:cs="Calibri"/>
                <w:b/>
                <w:bCs/>
                <w:color w:val="000000"/>
                <w:sz w:val="20"/>
                <w:szCs w:val="20"/>
                <w:lang w:eastAsia="fr-FR"/>
              </w:rPr>
            </w:pPr>
            <w:r w:rsidRPr="003C59F2">
              <w:rPr>
                <w:rFonts w:eastAsia="Times New Roman" w:cs="Calibri"/>
                <w:b/>
                <w:bCs/>
                <w:color w:val="000000"/>
                <w:sz w:val="20"/>
                <w:szCs w:val="20"/>
                <w:lang w:eastAsia="fr-FR"/>
              </w:rPr>
              <w:t>Master 2</w:t>
            </w:r>
          </w:p>
        </w:tc>
        <w:tc>
          <w:tcPr>
            <w:tcW w:w="1060" w:type="dxa"/>
            <w:tcBorders>
              <w:top w:val="nil"/>
              <w:left w:val="nil"/>
              <w:bottom w:val="single" w:sz="4" w:space="0" w:color="auto"/>
              <w:right w:val="single" w:sz="4" w:space="0" w:color="auto"/>
            </w:tcBorders>
            <w:shd w:val="clear" w:color="000000" w:fill="DCE6F1"/>
            <w:noWrap/>
            <w:vAlign w:val="bottom"/>
            <w:hideMark/>
          </w:tcPr>
          <w:p w:rsidR="003C59F2" w:rsidRPr="003C59F2" w:rsidRDefault="003C59F2" w:rsidP="003C59F2">
            <w:pPr>
              <w:jc w:val="center"/>
              <w:rPr>
                <w:rFonts w:eastAsia="Times New Roman" w:cs="Calibri"/>
                <w:color w:val="000000"/>
                <w:sz w:val="20"/>
                <w:szCs w:val="20"/>
                <w:lang w:eastAsia="fr-FR"/>
              </w:rPr>
            </w:pPr>
            <w:r w:rsidRPr="003C59F2">
              <w:rPr>
                <w:rFonts w:eastAsia="Times New Roman" w:cs="Calibri"/>
                <w:color w:val="000000"/>
                <w:sz w:val="20"/>
                <w:szCs w:val="20"/>
                <w:lang w:eastAsia="fr-FR"/>
              </w:rPr>
              <w:t>20</w:t>
            </w:r>
          </w:p>
        </w:tc>
        <w:tc>
          <w:tcPr>
            <w:tcW w:w="1060" w:type="dxa"/>
            <w:tcBorders>
              <w:top w:val="nil"/>
              <w:left w:val="nil"/>
              <w:bottom w:val="single" w:sz="4" w:space="0" w:color="auto"/>
              <w:right w:val="single" w:sz="4" w:space="0" w:color="auto"/>
            </w:tcBorders>
            <w:shd w:val="clear" w:color="auto" w:fill="auto"/>
            <w:noWrap/>
            <w:vAlign w:val="bottom"/>
            <w:hideMark/>
          </w:tcPr>
          <w:p w:rsidR="003C59F2" w:rsidRPr="003C59F2" w:rsidRDefault="003C59F2" w:rsidP="003C59F2">
            <w:pPr>
              <w:jc w:val="center"/>
              <w:rPr>
                <w:rFonts w:eastAsia="Times New Roman" w:cs="Calibri"/>
                <w:color w:val="000000"/>
                <w:sz w:val="20"/>
                <w:szCs w:val="20"/>
                <w:lang w:eastAsia="fr-FR"/>
              </w:rPr>
            </w:pPr>
            <w:r w:rsidRPr="003C59F2">
              <w:rPr>
                <w:rFonts w:eastAsia="Times New Roman" w:cs="Calibri"/>
                <w:color w:val="000000"/>
                <w:sz w:val="20"/>
                <w:szCs w:val="20"/>
                <w:lang w:eastAsia="fr-FR"/>
              </w:rPr>
              <w:t>20</w:t>
            </w:r>
          </w:p>
        </w:tc>
        <w:tc>
          <w:tcPr>
            <w:tcW w:w="1060" w:type="dxa"/>
            <w:tcBorders>
              <w:top w:val="nil"/>
              <w:left w:val="nil"/>
              <w:bottom w:val="single" w:sz="4" w:space="0" w:color="auto"/>
              <w:right w:val="single" w:sz="4" w:space="0" w:color="auto"/>
            </w:tcBorders>
            <w:shd w:val="clear" w:color="000000" w:fill="DCE6F1"/>
            <w:noWrap/>
            <w:vAlign w:val="bottom"/>
            <w:hideMark/>
          </w:tcPr>
          <w:p w:rsidR="003C59F2" w:rsidRPr="003C59F2" w:rsidRDefault="003C59F2" w:rsidP="003C59F2">
            <w:pPr>
              <w:jc w:val="center"/>
              <w:rPr>
                <w:rFonts w:eastAsia="Times New Roman" w:cs="Calibri"/>
                <w:color w:val="000000"/>
                <w:sz w:val="20"/>
                <w:szCs w:val="20"/>
                <w:lang w:eastAsia="fr-FR"/>
              </w:rPr>
            </w:pPr>
            <w:r w:rsidRPr="003C59F2">
              <w:rPr>
                <w:rFonts w:eastAsia="Times New Roman" w:cs="Calibri"/>
                <w:color w:val="000000"/>
                <w:sz w:val="20"/>
                <w:szCs w:val="20"/>
                <w:lang w:eastAsia="fr-FR"/>
              </w:rPr>
              <w:t>19</w:t>
            </w:r>
          </w:p>
        </w:tc>
        <w:tc>
          <w:tcPr>
            <w:tcW w:w="1060" w:type="dxa"/>
            <w:tcBorders>
              <w:top w:val="nil"/>
              <w:left w:val="nil"/>
              <w:bottom w:val="single" w:sz="4" w:space="0" w:color="auto"/>
              <w:right w:val="single" w:sz="4" w:space="0" w:color="auto"/>
            </w:tcBorders>
            <w:shd w:val="clear" w:color="auto" w:fill="auto"/>
            <w:noWrap/>
            <w:vAlign w:val="bottom"/>
            <w:hideMark/>
          </w:tcPr>
          <w:p w:rsidR="003C59F2" w:rsidRPr="003C59F2" w:rsidRDefault="003C59F2" w:rsidP="003C59F2">
            <w:pPr>
              <w:jc w:val="center"/>
              <w:rPr>
                <w:rFonts w:eastAsia="Times New Roman" w:cs="Calibri"/>
                <w:color w:val="000000"/>
                <w:sz w:val="20"/>
                <w:szCs w:val="20"/>
                <w:lang w:eastAsia="fr-FR"/>
              </w:rPr>
            </w:pPr>
            <w:r w:rsidRPr="003C59F2">
              <w:rPr>
                <w:rFonts w:eastAsia="Times New Roman" w:cs="Calibri"/>
                <w:color w:val="000000"/>
                <w:sz w:val="20"/>
                <w:szCs w:val="20"/>
                <w:lang w:eastAsia="fr-FR"/>
              </w:rPr>
              <w:t>17</w:t>
            </w:r>
          </w:p>
        </w:tc>
        <w:tc>
          <w:tcPr>
            <w:tcW w:w="1060" w:type="dxa"/>
            <w:tcBorders>
              <w:top w:val="nil"/>
              <w:left w:val="nil"/>
              <w:bottom w:val="single" w:sz="4" w:space="0" w:color="auto"/>
              <w:right w:val="single" w:sz="4" w:space="0" w:color="auto"/>
            </w:tcBorders>
            <w:shd w:val="clear" w:color="000000" w:fill="DCE6F1"/>
            <w:noWrap/>
            <w:vAlign w:val="bottom"/>
            <w:hideMark/>
          </w:tcPr>
          <w:p w:rsidR="003C59F2" w:rsidRPr="003C59F2" w:rsidRDefault="003C59F2" w:rsidP="003C59F2">
            <w:pPr>
              <w:jc w:val="center"/>
              <w:rPr>
                <w:rFonts w:eastAsia="Times New Roman" w:cs="Calibri"/>
                <w:color w:val="000000"/>
                <w:sz w:val="20"/>
                <w:szCs w:val="20"/>
                <w:lang w:eastAsia="fr-FR"/>
              </w:rPr>
            </w:pPr>
            <w:r w:rsidRPr="003C59F2">
              <w:rPr>
                <w:rFonts w:eastAsia="Times New Roman" w:cs="Calibri"/>
                <w:color w:val="000000"/>
                <w:sz w:val="20"/>
                <w:szCs w:val="20"/>
                <w:lang w:eastAsia="fr-FR"/>
              </w:rPr>
              <w:t>10</w:t>
            </w:r>
          </w:p>
        </w:tc>
        <w:tc>
          <w:tcPr>
            <w:tcW w:w="1060" w:type="dxa"/>
            <w:tcBorders>
              <w:top w:val="nil"/>
              <w:left w:val="nil"/>
              <w:bottom w:val="single" w:sz="4" w:space="0" w:color="auto"/>
              <w:right w:val="single" w:sz="4" w:space="0" w:color="auto"/>
            </w:tcBorders>
            <w:shd w:val="clear" w:color="auto" w:fill="auto"/>
            <w:noWrap/>
            <w:vAlign w:val="bottom"/>
            <w:hideMark/>
          </w:tcPr>
          <w:p w:rsidR="003C59F2" w:rsidRPr="003C59F2" w:rsidRDefault="003C59F2" w:rsidP="003C59F2">
            <w:pPr>
              <w:jc w:val="center"/>
              <w:rPr>
                <w:rFonts w:eastAsia="Times New Roman" w:cs="Calibri"/>
                <w:color w:val="000000"/>
                <w:sz w:val="20"/>
                <w:szCs w:val="20"/>
                <w:lang w:eastAsia="fr-FR"/>
              </w:rPr>
            </w:pPr>
            <w:r w:rsidRPr="003C59F2">
              <w:rPr>
                <w:rFonts w:eastAsia="Times New Roman" w:cs="Calibri"/>
                <w:color w:val="000000"/>
                <w:sz w:val="20"/>
                <w:szCs w:val="20"/>
                <w:lang w:eastAsia="fr-FR"/>
              </w:rPr>
              <w:t>19</w:t>
            </w:r>
          </w:p>
        </w:tc>
        <w:tc>
          <w:tcPr>
            <w:tcW w:w="1060" w:type="dxa"/>
            <w:tcBorders>
              <w:top w:val="nil"/>
              <w:left w:val="nil"/>
              <w:bottom w:val="single" w:sz="4" w:space="0" w:color="auto"/>
              <w:right w:val="single" w:sz="4" w:space="0" w:color="auto"/>
            </w:tcBorders>
            <w:shd w:val="clear" w:color="000000" w:fill="DCE6F1"/>
            <w:noWrap/>
            <w:vAlign w:val="bottom"/>
            <w:hideMark/>
          </w:tcPr>
          <w:p w:rsidR="003C59F2" w:rsidRPr="003C59F2" w:rsidRDefault="003C59F2" w:rsidP="003C59F2">
            <w:pPr>
              <w:jc w:val="center"/>
              <w:rPr>
                <w:rFonts w:eastAsia="Times New Roman" w:cs="Calibri"/>
                <w:color w:val="000000"/>
                <w:sz w:val="20"/>
                <w:szCs w:val="20"/>
                <w:lang w:eastAsia="fr-FR"/>
              </w:rPr>
            </w:pPr>
            <w:r w:rsidRPr="003C59F2">
              <w:rPr>
                <w:rFonts w:eastAsia="Times New Roman" w:cs="Calibri"/>
                <w:color w:val="000000"/>
                <w:sz w:val="20"/>
                <w:szCs w:val="20"/>
                <w:lang w:eastAsia="fr-FR"/>
              </w:rPr>
              <w:t>19</w:t>
            </w:r>
          </w:p>
        </w:tc>
      </w:tr>
      <w:tr w:rsidR="003C59F2" w:rsidRPr="003C59F2" w:rsidTr="003C59F2">
        <w:trPr>
          <w:trHeight w:val="135"/>
        </w:trPr>
        <w:tc>
          <w:tcPr>
            <w:tcW w:w="1120" w:type="dxa"/>
            <w:tcBorders>
              <w:top w:val="nil"/>
              <w:left w:val="nil"/>
              <w:bottom w:val="nil"/>
              <w:right w:val="nil"/>
            </w:tcBorders>
            <w:shd w:val="clear" w:color="auto" w:fill="auto"/>
            <w:noWrap/>
            <w:vAlign w:val="bottom"/>
            <w:hideMark/>
          </w:tcPr>
          <w:p w:rsidR="003C59F2" w:rsidRPr="003C59F2" w:rsidRDefault="003C59F2" w:rsidP="003C59F2">
            <w:pPr>
              <w:rPr>
                <w:rFonts w:eastAsia="Times New Roman" w:cs="Calibri"/>
                <w:b/>
                <w:bCs/>
                <w:color w:val="000000"/>
                <w:sz w:val="20"/>
                <w:szCs w:val="20"/>
                <w:lang w:eastAsia="fr-FR"/>
              </w:rPr>
            </w:pPr>
          </w:p>
        </w:tc>
        <w:tc>
          <w:tcPr>
            <w:tcW w:w="1060" w:type="dxa"/>
            <w:tcBorders>
              <w:top w:val="nil"/>
              <w:left w:val="nil"/>
              <w:bottom w:val="nil"/>
              <w:right w:val="nil"/>
            </w:tcBorders>
            <w:shd w:val="clear" w:color="auto" w:fill="auto"/>
            <w:noWrap/>
            <w:vAlign w:val="bottom"/>
            <w:hideMark/>
          </w:tcPr>
          <w:p w:rsidR="003C59F2" w:rsidRPr="003C59F2" w:rsidRDefault="003C59F2" w:rsidP="003C59F2">
            <w:pPr>
              <w:jc w:val="center"/>
              <w:rPr>
                <w:rFonts w:eastAsia="Times New Roman" w:cs="Calibri"/>
                <w:color w:val="000000"/>
                <w:sz w:val="20"/>
                <w:szCs w:val="20"/>
                <w:lang w:eastAsia="fr-FR"/>
              </w:rPr>
            </w:pPr>
          </w:p>
        </w:tc>
        <w:tc>
          <w:tcPr>
            <w:tcW w:w="1060" w:type="dxa"/>
            <w:tcBorders>
              <w:top w:val="nil"/>
              <w:left w:val="nil"/>
              <w:bottom w:val="nil"/>
              <w:right w:val="nil"/>
            </w:tcBorders>
            <w:shd w:val="clear" w:color="auto" w:fill="auto"/>
            <w:noWrap/>
            <w:vAlign w:val="bottom"/>
            <w:hideMark/>
          </w:tcPr>
          <w:p w:rsidR="003C59F2" w:rsidRPr="003C59F2" w:rsidRDefault="003C59F2" w:rsidP="003C59F2">
            <w:pPr>
              <w:jc w:val="center"/>
              <w:rPr>
                <w:rFonts w:eastAsia="Times New Roman" w:cs="Calibri"/>
                <w:color w:val="000000"/>
                <w:sz w:val="20"/>
                <w:szCs w:val="20"/>
                <w:lang w:eastAsia="fr-FR"/>
              </w:rPr>
            </w:pPr>
          </w:p>
        </w:tc>
        <w:tc>
          <w:tcPr>
            <w:tcW w:w="1060" w:type="dxa"/>
            <w:tcBorders>
              <w:top w:val="nil"/>
              <w:left w:val="nil"/>
              <w:bottom w:val="nil"/>
              <w:right w:val="nil"/>
            </w:tcBorders>
            <w:shd w:val="clear" w:color="auto" w:fill="auto"/>
            <w:noWrap/>
            <w:vAlign w:val="bottom"/>
            <w:hideMark/>
          </w:tcPr>
          <w:p w:rsidR="003C59F2" w:rsidRPr="003C59F2" w:rsidRDefault="003C59F2" w:rsidP="003C59F2">
            <w:pPr>
              <w:jc w:val="center"/>
              <w:rPr>
                <w:rFonts w:eastAsia="Times New Roman" w:cs="Calibri"/>
                <w:color w:val="000000"/>
                <w:sz w:val="20"/>
                <w:szCs w:val="20"/>
                <w:lang w:eastAsia="fr-FR"/>
              </w:rPr>
            </w:pPr>
          </w:p>
        </w:tc>
        <w:tc>
          <w:tcPr>
            <w:tcW w:w="1060" w:type="dxa"/>
            <w:tcBorders>
              <w:top w:val="nil"/>
              <w:left w:val="nil"/>
              <w:bottom w:val="nil"/>
              <w:right w:val="nil"/>
            </w:tcBorders>
            <w:shd w:val="clear" w:color="auto" w:fill="auto"/>
            <w:noWrap/>
            <w:vAlign w:val="bottom"/>
            <w:hideMark/>
          </w:tcPr>
          <w:p w:rsidR="003C59F2" w:rsidRPr="003C59F2" w:rsidRDefault="003C59F2" w:rsidP="003C59F2">
            <w:pPr>
              <w:jc w:val="center"/>
              <w:rPr>
                <w:rFonts w:eastAsia="Times New Roman" w:cs="Calibri"/>
                <w:color w:val="000000"/>
                <w:sz w:val="20"/>
                <w:szCs w:val="20"/>
                <w:lang w:eastAsia="fr-FR"/>
              </w:rPr>
            </w:pPr>
          </w:p>
        </w:tc>
        <w:tc>
          <w:tcPr>
            <w:tcW w:w="1060" w:type="dxa"/>
            <w:tcBorders>
              <w:top w:val="nil"/>
              <w:left w:val="nil"/>
              <w:bottom w:val="nil"/>
              <w:right w:val="nil"/>
            </w:tcBorders>
            <w:shd w:val="clear" w:color="auto" w:fill="auto"/>
            <w:noWrap/>
            <w:vAlign w:val="bottom"/>
            <w:hideMark/>
          </w:tcPr>
          <w:p w:rsidR="003C59F2" w:rsidRPr="003C59F2" w:rsidRDefault="003C59F2" w:rsidP="003C59F2">
            <w:pPr>
              <w:jc w:val="center"/>
              <w:rPr>
                <w:rFonts w:eastAsia="Times New Roman" w:cs="Calibri"/>
                <w:color w:val="000000"/>
                <w:sz w:val="20"/>
                <w:szCs w:val="20"/>
                <w:lang w:eastAsia="fr-FR"/>
              </w:rPr>
            </w:pPr>
          </w:p>
        </w:tc>
        <w:tc>
          <w:tcPr>
            <w:tcW w:w="1060" w:type="dxa"/>
            <w:tcBorders>
              <w:top w:val="nil"/>
              <w:left w:val="nil"/>
              <w:bottom w:val="nil"/>
              <w:right w:val="nil"/>
            </w:tcBorders>
            <w:shd w:val="clear" w:color="auto" w:fill="auto"/>
            <w:noWrap/>
            <w:vAlign w:val="bottom"/>
            <w:hideMark/>
          </w:tcPr>
          <w:p w:rsidR="003C59F2" w:rsidRPr="003C59F2" w:rsidRDefault="003C59F2" w:rsidP="003C59F2">
            <w:pPr>
              <w:jc w:val="center"/>
              <w:rPr>
                <w:rFonts w:eastAsia="Times New Roman" w:cs="Calibri"/>
                <w:color w:val="000000"/>
                <w:sz w:val="20"/>
                <w:szCs w:val="20"/>
                <w:lang w:eastAsia="fr-FR"/>
              </w:rPr>
            </w:pPr>
          </w:p>
        </w:tc>
        <w:tc>
          <w:tcPr>
            <w:tcW w:w="1060" w:type="dxa"/>
            <w:tcBorders>
              <w:top w:val="nil"/>
              <w:left w:val="nil"/>
              <w:bottom w:val="nil"/>
              <w:right w:val="nil"/>
            </w:tcBorders>
            <w:shd w:val="clear" w:color="auto" w:fill="auto"/>
            <w:noWrap/>
            <w:vAlign w:val="bottom"/>
            <w:hideMark/>
          </w:tcPr>
          <w:p w:rsidR="003C59F2" w:rsidRPr="003C59F2" w:rsidRDefault="003C59F2" w:rsidP="003C59F2">
            <w:pPr>
              <w:jc w:val="center"/>
              <w:rPr>
                <w:rFonts w:eastAsia="Times New Roman" w:cs="Calibri"/>
                <w:color w:val="000000"/>
                <w:sz w:val="20"/>
                <w:szCs w:val="20"/>
                <w:lang w:eastAsia="fr-FR"/>
              </w:rPr>
            </w:pPr>
          </w:p>
        </w:tc>
      </w:tr>
      <w:tr w:rsidR="003C59F2" w:rsidRPr="003C59F2" w:rsidTr="003C59F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59F2" w:rsidRPr="003C59F2" w:rsidRDefault="003C59F2" w:rsidP="003C59F2">
            <w:pPr>
              <w:rPr>
                <w:rFonts w:eastAsia="Times New Roman" w:cs="Calibri"/>
                <w:b/>
                <w:bCs/>
                <w:color w:val="000000"/>
                <w:sz w:val="20"/>
                <w:szCs w:val="20"/>
                <w:lang w:eastAsia="fr-FR"/>
              </w:rPr>
            </w:pPr>
            <w:r w:rsidRPr="003C59F2">
              <w:rPr>
                <w:rFonts w:eastAsia="Times New Roman" w:cs="Calibri"/>
                <w:b/>
                <w:bCs/>
                <w:color w:val="000000"/>
                <w:sz w:val="20"/>
                <w:szCs w:val="20"/>
                <w:lang w:eastAsia="fr-FR"/>
              </w:rPr>
              <w:t>ENSEMBLE</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3C59F2" w:rsidRPr="003C59F2" w:rsidRDefault="003C59F2" w:rsidP="003C59F2">
            <w:pPr>
              <w:jc w:val="center"/>
              <w:rPr>
                <w:rFonts w:eastAsia="Times New Roman" w:cs="Calibri"/>
                <w:color w:val="000000"/>
                <w:sz w:val="20"/>
                <w:szCs w:val="20"/>
                <w:lang w:eastAsia="fr-FR"/>
              </w:rPr>
            </w:pPr>
            <w:r w:rsidRPr="003C59F2">
              <w:rPr>
                <w:rFonts w:eastAsia="Times New Roman" w:cs="Calibri"/>
                <w:color w:val="000000"/>
                <w:sz w:val="20"/>
                <w:szCs w:val="20"/>
                <w:lang w:eastAsia="fr-FR"/>
              </w:rPr>
              <w:t>68</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3C59F2" w:rsidRPr="003C59F2" w:rsidRDefault="003C59F2" w:rsidP="003C59F2">
            <w:pPr>
              <w:jc w:val="center"/>
              <w:rPr>
                <w:rFonts w:eastAsia="Times New Roman" w:cs="Calibri"/>
                <w:color w:val="000000"/>
                <w:sz w:val="20"/>
                <w:szCs w:val="20"/>
                <w:lang w:eastAsia="fr-FR"/>
              </w:rPr>
            </w:pPr>
            <w:r w:rsidRPr="003C59F2">
              <w:rPr>
                <w:rFonts w:eastAsia="Times New Roman" w:cs="Calibri"/>
                <w:color w:val="000000"/>
                <w:sz w:val="20"/>
                <w:szCs w:val="20"/>
                <w:lang w:eastAsia="fr-FR"/>
              </w:rPr>
              <w:t>67</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3C59F2" w:rsidRPr="003C59F2" w:rsidRDefault="003C59F2" w:rsidP="003C59F2">
            <w:pPr>
              <w:jc w:val="center"/>
              <w:rPr>
                <w:rFonts w:eastAsia="Times New Roman" w:cs="Calibri"/>
                <w:color w:val="000000"/>
                <w:sz w:val="20"/>
                <w:szCs w:val="20"/>
                <w:lang w:eastAsia="fr-FR"/>
              </w:rPr>
            </w:pPr>
            <w:r w:rsidRPr="003C59F2">
              <w:rPr>
                <w:rFonts w:eastAsia="Times New Roman" w:cs="Calibri"/>
                <w:color w:val="000000"/>
                <w:sz w:val="20"/>
                <w:szCs w:val="20"/>
                <w:lang w:eastAsia="fr-FR"/>
              </w:rPr>
              <w:t>54</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3C59F2" w:rsidRPr="003C59F2" w:rsidRDefault="003C59F2" w:rsidP="003C59F2">
            <w:pPr>
              <w:jc w:val="center"/>
              <w:rPr>
                <w:rFonts w:eastAsia="Times New Roman" w:cs="Calibri"/>
                <w:color w:val="000000"/>
                <w:sz w:val="20"/>
                <w:szCs w:val="20"/>
                <w:lang w:eastAsia="fr-FR"/>
              </w:rPr>
            </w:pPr>
            <w:r w:rsidRPr="003C59F2">
              <w:rPr>
                <w:rFonts w:eastAsia="Times New Roman" w:cs="Calibri"/>
                <w:color w:val="000000"/>
                <w:sz w:val="20"/>
                <w:szCs w:val="20"/>
                <w:lang w:eastAsia="fr-FR"/>
              </w:rPr>
              <w:t>55</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3C59F2" w:rsidRPr="003C59F2" w:rsidRDefault="003C59F2" w:rsidP="003C59F2">
            <w:pPr>
              <w:jc w:val="center"/>
              <w:rPr>
                <w:rFonts w:eastAsia="Times New Roman" w:cs="Calibri"/>
                <w:color w:val="000000"/>
                <w:sz w:val="20"/>
                <w:szCs w:val="20"/>
                <w:lang w:eastAsia="fr-FR"/>
              </w:rPr>
            </w:pPr>
            <w:r w:rsidRPr="003C59F2">
              <w:rPr>
                <w:rFonts w:eastAsia="Times New Roman" w:cs="Calibri"/>
                <w:color w:val="000000"/>
                <w:sz w:val="20"/>
                <w:szCs w:val="20"/>
                <w:lang w:eastAsia="fr-FR"/>
              </w:rPr>
              <w:t>54</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3C59F2" w:rsidRPr="003C59F2" w:rsidRDefault="003C59F2" w:rsidP="003C59F2">
            <w:pPr>
              <w:jc w:val="center"/>
              <w:rPr>
                <w:rFonts w:eastAsia="Times New Roman" w:cs="Calibri"/>
                <w:color w:val="000000"/>
                <w:sz w:val="20"/>
                <w:szCs w:val="20"/>
                <w:lang w:eastAsia="fr-FR"/>
              </w:rPr>
            </w:pPr>
            <w:r w:rsidRPr="003C59F2">
              <w:rPr>
                <w:rFonts w:eastAsia="Times New Roman" w:cs="Calibri"/>
                <w:color w:val="000000"/>
                <w:sz w:val="20"/>
                <w:szCs w:val="20"/>
                <w:lang w:eastAsia="fr-FR"/>
              </w:rPr>
              <w:t>69</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3C59F2" w:rsidRPr="003C59F2" w:rsidRDefault="003C59F2" w:rsidP="003C59F2">
            <w:pPr>
              <w:jc w:val="center"/>
              <w:rPr>
                <w:rFonts w:eastAsia="Times New Roman" w:cs="Calibri"/>
                <w:color w:val="000000"/>
                <w:sz w:val="20"/>
                <w:szCs w:val="20"/>
                <w:lang w:eastAsia="fr-FR"/>
              </w:rPr>
            </w:pPr>
            <w:r w:rsidRPr="003C59F2">
              <w:rPr>
                <w:rFonts w:eastAsia="Times New Roman" w:cs="Calibri"/>
                <w:color w:val="000000"/>
                <w:sz w:val="20"/>
                <w:szCs w:val="20"/>
                <w:lang w:eastAsia="fr-FR"/>
              </w:rPr>
              <w:t>63</w:t>
            </w:r>
          </w:p>
        </w:tc>
      </w:tr>
    </w:tbl>
    <w:p w:rsidR="009F3412" w:rsidRPr="00EF0571" w:rsidRDefault="009F3412" w:rsidP="003C59F2">
      <w:pPr>
        <w:spacing w:before="120"/>
        <w:jc w:val="both"/>
        <w:rPr>
          <w:b/>
          <w:sz w:val="20"/>
          <w:szCs w:val="20"/>
        </w:rPr>
      </w:pPr>
      <w:r w:rsidRPr="00EF0571">
        <w:rPr>
          <w:b/>
          <w:sz w:val="20"/>
          <w:szCs w:val="20"/>
        </w:rPr>
        <w:t>Effectifs des inscriptions administratives</w:t>
      </w:r>
      <w:r w:rsidR="003C59F2">
        <w:rPr>
          <w:b/>
          <w:sz w:val="20"/>
          <w:szCs w:val="20"/>
        </w:rPr>
        <w:t xml:space="preserve"> </w:t>
      </w:r>
      <w:r w:rsidR="003C59F2" w:rsidRPr="003C59F2">
        <w:rPr>
          <w:i/>
          <w:sz w:val="20"/>
          <w:szCs w:val="20"/>
        </w:rPr>
        <w:t>(Source : Apogée)</w:t>
      </w:r>
    </w:p>
    <w:p w:rsidR="009F3412" w:rsidRDefault="009F3412" w:rsidP="009F3412">
      <w:pPr>
        <w:spacing w:before="120"/>
        <w:ind w:firstLine="426"/>
        <w:jc w:val="both"/>
      </w:pPr>
    </w:p>
    <w:p w:rsidR="009F3412" w:rsidRDefault="0055457A" w:rsidP="009F3412">
      <w:pPr>
        <w:spacing w:before="120"/>
        <w:ind w:firstLine="426"/>
        <w:jc w:val="both"/>
      </w:pPr>
      <w:r>
        <w:t>Pour la deuxième année consécutive</w:t>
      </w:r>
      <w:r w:rsidR="009F3412">
        <w:t>, l’institut de démographie a retrouvé les effectifs observés habituellement. 2012-2013 a été précédée de trois années au cours desquelles les effectifs ont été plus modestes. Cette situation est liée à la faiblesse des effectifs de licence l’année 2009-2010, que l’on retrouve ensuite lorsque cette promotion franchit les étapes du cursus en master. Une fois cette vague passée, nous avons retrouvé les effectifs habituels.</w:t>
      </w:r>
    </w:p>
    <w:p w:rsidR="009F3412" w:rsidRDefault="009F3412" w:rsidP="009F3412">
      <w:pPr>
        <w:spacing w:before="120"/>
        <w:ind w:firstLine="426"/>
        <w:jc w:val="both"/>
      </w:pPr>
      <w:r>
        <w:t>Le suivi des étudiants d’une année à la suivante, fournit des éléments relativement intéressants :</w:t>
      </w:r>
    </w:p>
    <w:p w:rsidR="009F3412" w:rsidRDefault="009F3412" w:rsidP="009F3412">
      <w:pPr>
        <w:spacing w:before="120"/>
        <w:ind w:firstLine="426"/>
        <w:jc w:val="both"/>
      </w:pPr>
      <w:r>
        <w:lastRenderedPageBreak/>
        <w:t xml:space="preserve">- La très grande majorité des étudiants de licence est issue de la Faculté de </w:t>
      </w:r>
      <w:r w:rsidRPr="00AB6A37">
        <w:t>Sciences Sociales</w:t>
      </w:r>
      <w:r>
        <w:t xml:space="preserve"> (avec la réforme LMD, les réorientations se font désormais en master). Ils ont suivi les quatre premiers semestres de la licence, mais n’ont pas obligatoirement choisi l’option </w:t>
      </w:r>
      <w:r w:rsidRPr="002C1DA6">
        <w:rPr>
          <w:i/>
        </w:rPr>
        <w:t>démographie</w:t>
      </w:r>
      <w:r>
        <w:t xml:space="preserve"> dans l’UE5 du semestre 4 (1/4 environ ne l’a pas suivie).</w:t>
      </w:r>
    </w:p>
    <w:p w:rsidR="009F3412" w:rsidRDefault="009F3412" w:rsidP="009F3412">
      <w:pPr>
        <w:spacing w:before="120"/>
        <w:ind w:firstLine="426"/>
        <w:jc w:val="both"/>
      </w:pPr>
      <w:r>
        <w:t>- Parmi les étudiants en licen</w:t>
      </w:r>
      <w:r w:rsidR="001E050E">
        <w:t>ce, un peu plus de la moitié (51</w:t>
      </w:r>
      <w:r>
        <w:t xml:space="preserve"> % en moyenne sur </w:t>
      </w:r>
      <w:r w:rsidR="001E050E">
        <w:t>8</w:t>
      </w:r>
      <w:r>
        <w:t xml:space="preserve"> années d’observation) poursuivent en master de démographie. Les autres redoublent, abandonnent ou ont réussi un concours d’entrée à des formations dans le domaine sanitaire ou social.</w:t>
      </w:r>
    </w:p>
    <w:p w:rsidR="009F3412" w:rsidRDefault="009F3412" w:rsidP="009F3412">
      <w:pPr>
        <w:spacing w:before="120"/>
        <w:ind w:firstLine="426"/>
        <w:jc w:val="both"/>
      </w:pPr>
      <w:r>
        <w:t>- Le taux de passage au niveau supérieur est un peu plus élevé pour les étudiants en 1</w:t>
      </w:r>
      <w:r w:rsidRPr="00D960CA">
        <w:rPr>
          <w:vertAlign w:val="superscript"/>
        </w:rPr>
        <w:t>ère</w:t>
      </w:r>
      <w:r>
        <w:t xml:space="preserve"> année de master. Parmi eux, </w:t>
      </w:r>
      <w:r w:rsidR="001E050E">
        <w:t>près des</w:t>
      </w:r>
      <w:r>
        <w:t xml:space="preserve"> 2/3 poursuivent en 2</w:t>
      </w:r>
      <w:r w:rsidRPr="00DF0D8C">
        <w:rPr>
          <w:vertAlign w:val="superscript"/>
        </w:rPr>
        <w:t>e</w:t>
      </w:r>
      <w:r>
        <w:t xml:space="preserve"> année du master.</w:t>
      </w:r>
    </w:p>
    <w:p w:rsidR="009F3412" w:rsidRDefault="009F3412" w:rsidP="009F3412">
      <w:pPr>
        <w:spacing w:before="120"/>
        <w:ind w:firstLine="426"/>
        <w:jc w:val="both"/>
      </w:pPr>
      <w:r>
        <w:t xml:space="preserve">- Le nombre de candidatures en première année de master est en augmentation constante. </w:t>
      </w:r>
      <w:r w:rsidR="000D09B6">
        <w:t>Depuis 2012, nous enregistrons chaque année plus d’une centaine de candidatures</w:t>
      </w:r>
      <w:r>
        <w:t xml:space="preserve">. Au cours des </w:t>
      </w:r>
      <w:r w:rsidR="000D09B6">
        <w:t>huit</w:t>
      </w:r>
      <w:r>
        <w:t xml:space="preserve"> dernières années, un étudiant sur deux en moyenne inscrit en master 1</w:t>
      </w:r>
      <w:r w:rsidRPr="00B92390">
        <w:rPr>
          <w:vertAlign w:val="superscript"/>
        </w:rPr>
        <w:t>ère</w:t>
      </w:r>
      <w:r>
        <w:t xml:space="preserve"> année, n’est pas titulaire de la licence de démographie. La plupart d’entre eux ont suivi un cursus en économie, géographie, statistique, sociologie, etc.).</w:t>
      </w:r>
    </w:p>
    <w:p w:rsidR="009F3412" w:rsidRDefault="009F3412" w:rsidP="009F3412">
      <w:pPr>
        <w:spacing w:before="120"/>
        <w:ind w:firstLine="426"/>
        <w:jc w:val="both"/>
      </w:pPr>
      <w:r>
        <w:t>- Le suivi des étudiants après l’obtention du master fait état d’une situation satisfaisante : le taux d’insertion professionnelle (emploi en relation avec la démograph</w:t>
      </w:r>
      <w:r w:rsidR="000D09B6">
        <w:t>ie) des diplômés de l’année 2012-2013</w:t>
      </w:r>
      <w:r>
        <w:t xml:space="preserve"> est conforme aux niveaux observés les années précédentes : 80 %.</w:t>
      </w:r>
    </w:p>
    <w:p w:rsidR="006D7D6D" w:rsidRDefault="006D7D6D" w:rsidP="005B78AB">
      <w:pPr>
        <w:spacing w:before="120"/>
        <w:ind w:firstLine="426"/>
        <w:jc w:val="both"/>
        <w:rPr>
          <w:rFonts w:asciiTheme="minorHAnsi" w:hAnsiTheme="minorHAnsi" w:cstheme="minorHAnsi"/>
        </w:rPr>
      </w:pPr>
    </w:p>
    <w:p w:rsidR="000D09B6" w:rsidRDefault="000D09B6" w:rsidP="005B78AB">
      <w:pPr>
        <w:spacing w:before="120"/>
        <w:ind w:firstLine="426"/>
        <w:jc w:val="both"/>
        <w:rPr>
          <w:rFonts w:asciiTheme="minorHAnsi" w:hAnsiTheme="minorHAnsi" w:cstheme="minorHAnsi"/>
        </w:rPr>
      </w:pPr>
    </w:p>
    <w:p w:rsidR="007323A3" w:rsidRDefault="00590AC8" w:rsidP="007323A3">
      <w:pPr>
        <w:spacing w:before="120"/>
        <w:ind w:firstLine="425"/>
        <w:jc w:val="both"/>
        <w:rPr>
          <w:rFonts w:ascii="Arial" w:hAnsi="Arial" w:cs="Arial"/>
          <w:b/>
        </w:rPr>
      </w:pPr>
      <w:r>
        <w:rPr>
          <w:rFonts w:ascii="Arial" w:hAnsi="Arial" w:cs="Arial"/>
          <w:b/>
        </w:rPr>
        <w:t xml:space="preserve">● </w:t>
      </w:r>
      <w:r w:rsidR="007323A3" w:rsidRPr="007323A3">
        <w:rPr>
          <w:rFonts w:asciiTheme="minorHAnsi" w:hAnsiTheme="minorHAnsi" w:cstheme="minorHAnsi"/>
          <w:b/>
        </w:rPr>
        <w:t>Budget</w:t>
      </w:r>
      <w:r w:rsidR="007323A3">
        <w:rPr>
          <w:rFonts w:asciiTheme="minorHAnsi" w:hAnsiTheme="minorHAnsi" w:cstheme="minorHAnsi"/>
        </w:rPr>
        <w:t xml:space="preserve"> </w:t>
      </w:r>
    </w:p>
    <w:p w:rsidR="007323A3" w:rsidRPr="007323A3" w:rsidRDefault="003369C7" w:rsidP="007323A3">
      <w:pPr>
        <w:spacing w:before="120"/>
        <w:ind w:firstLine="425"/>
        <w:jc w:val="both"/>
        <w:rPr>
          <w:rFonts w:asciiTheme="minorHAnsi" w:hAnsiTheme="minorHAnsi" w:cstheme="minorHAnsi"/>
        </w:rPr>
      </w:pPr>
      <w:r>
        <w:rPr>
          <w:rFonts w:asciiTheme="minorHAnsi" w:hAnsiTheme="minorHAnsi" w:cstheme="minorHAnsi"/>
        </w:rPr>
        <w:t>Ci-joint le bilan financier</w:t>
      </w:r>
    </w:p>
    <w:p w:rsidR="007323A3" w:rsidRDefault="007323A3" w:rsidP="007323A3">
      <w:pPr>
        <w:spacing w:before="120"/>
        <w:ind w:firstLine="425"/>
        <w:jc w:val="both"/>
        <w:rPr>
          <w:rFonts w:ascii="Arial" w:hAnsi="Arial" w:cs="Arial"/>
          <w:b/>
        </w:rPr>
      </w:pPr>
    </w:p>
    <w:p w:rsidR="000D09B6" w:rsidRDefault="000D09B6" w:rsidP="007323A3">
      <w:pPr>
        <w:spacing w:before="120"/>
        <w:ind w:firstLine="425"/>
        <w:jc w:val="both"/>
        <w:rPr>
          <w:rFonts w:ascii="Arial" w:hAnsi="Arial" w:cs="Arial"/>
          <w:b/>
        </w:rPr>
      </w:pPr>
    </w:p>
    <w:p w:rsidR="007323A3" w:rsidRDefault="00590AC8" w:rsidP="007323A3">
      <w:pPr>
        <w:spacing w:before="120"/>
        <w:ind w:firstLine="425"/>
        <w:jc w:val="both"/>
        <w:rPr>
          <w:rFonts w:asciiTheme="minorHAnsi" w:hAnsiTheme="minorHAnsi" w:cstheme="minorHAnsi"/>
          <w:b/>
        </w:rPr>
      </w:pPr>
      <w:r>
        <w:rPr>
          <w:rFonts w:ascii="Arial" w:hAnsi="Arial" w:cs="Arial"/>
          <w:b/>
        </w:rPr>
        <w:t xml:space="preserve">● </w:t>
      </w:r>
      <w:r w:rsidR="007323A3" w:rsidRPr="007323A3">
        <w:rPr>
          <w:rFonts w:asciiTheme="minorHAnsi" w:hAnsiTheme="minorHAnsi" w:cstheme="minorHAnsi"/>
          <w:b/>
        </w:rPr>
        <w:t>Recherche</w:t>
      </w:r>
    </w:p>
    <w:p w:rsidR="00D051DD" w:rsidRPr="002872C2" w:rsidRDefault="002872C2" w:rsidP="00D051DD">
      <w:pPr>
        <w:spacing w:before="120"/>
        <w:ind w:firstLine="425"/>
        <w:jc w:val="both"/>
        <w:rPr>
          <w:rFonts w:asciiTheme="minorHAnsi" w:hAnsiTheme="minorHAnsi" w:cstheme="minorHAnsi"/>
        </w:rPr>
      </w:pPr>
      <w:r w:rsidRPr="002872C2">
        <w:rPr>
          <w:rFonts w:asciiTheme="minorHAnsi" w:hAnsiTheme="minorHAnsi" w:cstheme="minorHAnsi"/>
        </w:rPr>
        <w:t xml:space="preserve">Tous les </w:t>
      </w:r>
      <w:r>
        <w:rPr>
          <w:rFonts w:asciiTheme="minorHAnsi" w:hAnsiTheme="minorHAnsi" w:cstheme="minorHAnsi"/>
        </w:rPr>
        <w:t>enseignants-chercheurs sur poste appartiennent à SAGE. L’activité de recherche est déclinée en 6 axes dont l’un d’eux (</w:t>
      </w:r>
      <w:r w:rsidRPr="002872C2">
        <w:rPr>
          <w:rFonts w:asciiTheme="minorHAnsi" w:hAnsiTheme="minorHAnsi" w:cstheme="minorHAnsi"/>
          <w:i/>
        </w:rPr>
        <w:t>Axe 4 – Politiques sociales, dynamiques familiales et professionnelles</w:t>
      </w:r>
      <w:r>
        <w:rPr>
          <w:rFonts w:asciiTheme="minorHAnsi" w:hAnsiTheme="minorHAnsi" w:cstheme="minorHAnsi"/>
        </w:rPr>
        <w:t xml:space="preserve">) </w:t>
      </w:r>
      <w:proofErr w:type="spellStart"/>
      <w:r>
        <w:rPr>
          <w:rFonts w:asciiTheme="minorHAnsi" w:hAnsiTheme="minorHAnsi" w:cstheme="minorHAnsi"/>
        </w:rPr>
        <w:t>co-dirigé</w:t>
      </w:r>
      <w:proofErr w:type="spellEnd"/>
      <w:r>
        <w:rPr>
          <w:rFonts w:asciiTheme="minorHAnsi" w:hAnsiTheme="minorHAnsi" w:cstheme="minorHAnsi"/>
        </w:rPr>
        <w:t xml:space="preserve"> par Didier Breton, est en cohérenc</w:t>
      </w:r>
      <w:r w:rsidR="00D051DD">
        <w:rPr>
          <w:rFonts w:asciiTheme="minorHAnsi" w:hAnsiTheme="minorHAnsi" w:cstheme="minorHAnsi"/>
        </w:rPr>
        <w:t xml:space="preserve">e avec les thématiques du </w:t>
      </w:r>
      <w:proofErr w:type="spellStart"/>
      <w:r w:rsidR="00D051DD">
        <w:rPr>
          <w:rFonts w:asciiTheme="minorHAnsi" w:hAnsiTheme="minorHAnsi" w:cstheme="minorHAnsi"/>
        </w:rPr>
        <w:t>labex</w:t>
      </w:r>
      <w:proofErr w:type="spellEnd"/>
      <w:r w:rsidR="00D051DD">
        <w:rPr>
          <w:rFonts w:asciiTheme="minorHAnsi" w:hAnsiTheme="minorHAnsi" w:cstheme="minorHAnsi"/>
        </w:rPr>
        <w:t xml:space="preserve"> </w:t>
      </w:r>
      <w:proofErr w:type="spellStart"/>
      <w:r w:rsidR="00282538">
        <w:rPr>
          <w:rFonts w:asciiTheme="minorHAnsi" w:hAnsiTheme="minorHAnsi" w:cstheme="minorHAnsi"/>
        </w:rPr>
        <w:t>iPOPs</w:t>
      </w:r>
      <w:proofErr w:type="spellEnd"/>
      <w:r w:rsidR="00D051DD">
        <w:rPr>
          <w:rFonts w:asciiTheme="minorHAnsi" w:hAnsiTheme="minorHAnsi" w:cstheme="minorHAnsi"/>
        </w:rPr>
        <w:t xml:space="preserve">. </w:t>
      </w:r>
    </w:p>
    <w:p w:rsidR="00476CC1" w:rsidRDefault="002872C2" w:rsidP="007323A3">
      <w:pPr>
        <w:spacing w:before="120"/>
        <w:ind w:firstLine="425"/>
        <w:jc w:val="both"/>
        <w:rPr>
          <w:rFonts w:asciiTheme="minorHAnsi" w:hAnsiTheme="minorHAnsi" w:cstheme="minorHAnsi"/>
        </w:rPr>
      </w:pPr>
      <w:r w:rsidRPr="002872C2">
        <w:rPr>
          <w:rFonts w:asciiTheme="minorHAnsi" w:hAnsiTheme="minorHAnsi" w:cstheme="minorHAnsi"/>
        </w:rPr>
        <w:t xml:space="preserve">Le parcours </w:t>
      </w:r>
      <w:r w:rsidRPr="004531BA">
        <w:rPr>
          <w:rFonts w:asciiTheme="minorHAnsi" w:hAnsiTheme="minorHAnsi" w:cstheme="minorHAnsi"/>
          <w:i/>
        </w:rPr>
        <w:t>recherche</w:t>
      </w:r>
      <w:r w:rsidRPr="002872C2">
        <w:rPr>
          <w:rFonts w:asciiTheme="minorHAnsi" w:hAnsiTheme="minorHAnsi" w:cstheme="minorHAnsi"/>
        </w:rPr>
        <w:t xml:space="preserve"> du master est désormais reconnu.</w:t>
      </w:r>
      <w:r>
        <w:rPr>
          <w:rFonts w:asciiTheme="minorHAnsi" w:hAnsiTheme="minorHAnsi" w:cstheme="minorHAnsi"/>
        </w:rPr>
        <w:t xml:space="preserve"> On enregistre cette année 6 stages en laboratoire : </w:t>
      </w:r>
      <w:r w:rsidR="006407D0">
        <w:rPr>
          <w:rFonts w:asciiTheme="minorHAnsi" w:hAnsiTheme="minorHAnsi" w:cstheme="minorHAnsi"/>
        </w:rPr>
        <w:t>5 en M2 (4 INED + 1 INRS Montréal) et 1 en M1 (SAGE)</w:t>
      </w:r>
      <w:r>
        <w:rPr>
          <w:rFonts w:asciiTheme="minorHAnsi" w:hAnsiTheme="minorHAnsi" w:cstheme="minorHAnsi"/>
        </w:rPr>
        <w:t>.</w:t>
      </w:r>
      <w:r w:rsidR="00D051DD">
        <w:rPr>
          <w:rFonts w:asciiTheme="minorHAnsi" w:hAnsiTheme="minorHAnsi" w:cstheme="minorHAnsi"/>
        </w:rPr>
        <w:t xml:space="preserve"> Deux étudiants titulaires du master de démographie poursuivent cette</w:t>
      </w:r>
      <w:r w:rsidR="0023012E">
        <w:rPr>
          <w:rFonts w:asciiTheme="minorHAnsi" w:hAnsiTheme="minorHAnsi" w:cstheme="minorHAnsi"/>
        </w:rPr>
        <w:t xml:space="preserve"> année en thèse CIFRE dont l’un est labellisé</w:t>
      </w:r>
      <w:r w:rsidR="00D051DD">
        <w:rPr>
          <w:rFonts w:asciiTheme="minorHAnsi" w:hAnsiTheme="minorHAnsi" w:cstheme="minorHAnsi"/>
        </w:rPr>
        <w:t xml:space="preserve"> </w:t>
      </w:r>
      <w:proofErr w:type="spellStart"/>
      <w:r w:rsidR="00D051DD">
        <w:rPr>
          <w:rFonts w:asciiTheme="minorHAnsi" w:hAnsiTheme="minorHAnsi" w:cstheme="minorHAnsi"/>
        </w:rPr>
        <w:t>labex</w:t>
      </w:r>
      <w:proofErr w:type="spellEnd"/>
      <w:r w:rsidR="00D051DD">
        <w:rPr>
          <w:rFonts w:asciiTheme="minorHAnsi" w:hAnsiTheme="minorHAnsi" w:cstheme="minorHAnsi"/>
        </w:rPr>
        <w:t xml:space="preserve"> </w:t>
      </w:r>
      <w:proofErr w:type="spellStart"/>
      <w:r w:rsidR="00282538">
        <w:rPr>
          <w:rFonts w:asciiTheme="minorHAnsi" w:hAnsiTheme="minorHAnsi" w:cstheme="minorHAnsi"/>
        </w:rPr>
        <w:t>iPOPs</w:t>
      </w:r>
      <w:proofErr w:type="spellEnd"/>
      <w:r w:rsidR="00D051DD">
        <w:rPr>
          <w:rFonts w:asciiTheme="minorHAnsi" w:hAnsiTheme="minorHAnsi" w:cstheme="minorHAnsi"/>
        </w:rPr>
        <w:t>.</w:t>
      </w:r>
      <w:r w:rsidR="00C02AAE">
        <w:rPr>
          <w:rFonts w:asciiTheme="minorHAnsi" w:hAnsiTheme="minorHAnsi" w:cstheme="minorHAnsi"/>
        </w:rPr>
        <w:t xml:space="preserve"> Un troisième bénéficie d’un contrat doctoral pour une thèse débutée cette année.</w:t>
      </w:r>
    </w:p>
    <w:p w:rsidR="002872C2" w:rsidRDefault="002872C2" w:rsidP="007323A3">
      <w:pPr>
        <w:spacing w:before="120"/>
        <w:ind w:firstLine="425"/>
        <w:jc w:val="both"/>
        <w:rPr>
          <w:rFonts w:asciiTheme="minorHAnsi" w:hAnsiTheme="minorHAnsi" w:cstheme="minorHAnsi"/>
        </w:rPr>
      </w:pPr>
      <w:r>
        <w:rPr>
          <w:rFonts w:asciiTheme="minorHAnsi" w:hAnsiTheme="minorHAnsi" w:cstheme="minorHAnsi"/>
        </w:rPr>
        <w:t xml:space="preserve">Les </w:t>
      </w:r>
      <w:r w:rsidR="004C21DF">
        <w:rPr>
          <w:rFonts w:asciiTheme="minorHAnsi" w:hAnsiTheme="minorHAnsi" w:cstheme="minorHAnsi"/>
        </w:rPr>
        <w:t xml:space="preserve">étudiants sont intégrés à </w:t>
      </w:r>
      <w:r w:rsidR="00271EC2">
        <w:rPr>
          <w:rFonts w:asciiTheme="minorHAnsi" w:hAnsiTheme="minorHAnsi" w:cstheme="minorHAnsi"/>
        </w:rPr>
        <w:t>trois</w:t>
      </w:r>
      <w:r w:rsidR="004C21DF">
        <w:rPr>
          <w:rFonts w:asciiTheme="minorHAnsi" w:hAnsiTheme="minorHAnsi" w:cstheme="minorHAnsi"/>
        </w:rPr>
        <w:t xml:space="preserve"> </w:t>
      </w:r>
      <w:r>
        <w:rPr>
          <w:rFonts w:asciiTheme="minorHAnsi" w:hAnsiTheme="minorHAnsi" w:cstheme="minorHAnsi"/>
        </w:rPr>
        <w:t>programmes de recherche développés par l’institut de démographie</w:t>
      </w:r>
      <w:r w:rsidR="004531BA">
        <w:rPr>
          <w:rFonts w:asciiTheme="minorHAnsi" w:hAnsiTheme="minorHAnsi" w:cstheme="minorHAnsi"/>
        </w:rPr>
        <w:t> :</w:t>
      </w:r>
    </w:p>
    <w:p w:rsidR="004C21DF" w:rsidRDefault="004C21DF" w:rsidP="004C21DF">
      <w:pPr>
        <w:pStyle w:val="Paragraphedeliste"/>
        <w:numPr>
          <w:ilvl w:val="0"/>
          <w:numId w:val="1"/>
        </w:numPr>
        <w:spacing w:before="120"/>
        <w:jc w:val="both"/>
        <w:rPr>
          <w:rFonts w:asciiTheme="minorHAnsi" w:hAnsiTheme="minorHAnsi" w:cstheme="minorHAnsi"/>
        </w:rPr>
      </w:pPr>
      <w:r>
        <w:rPr>
          <w:rFonts w:asciiTheme="minorHAnsi" w:hAnsiTheme="minorHAnsi" w:cstheme="minorHAnsi"/>
        </w:rPr>
        <w:t>OCDE : enquête sur l’insertion professionnelle d’étudiants handicapés de quel</w:t>
      </w:r>
      <w:r w:rsidR="000D2705">
        <w:rPr>
          <w:rFonts w:asciiTheme="minorHAnsi" w:hAnsiTheme="minorHAnsi" w:cstheme="minorHAnsi"/>
        </w:rPr>
        <w:t>ques pays européens</w:t>
      </w:r>
      <w:r>
        <w:rPr>
          <w:rFonts w:asciiTheme="minorHAnsi" w:hAnsiTheme="minorHAnsi" w:cstheme="minorHAnsi"/>
        </w:rPr>
        <w:t>.</w:t>
      </w:r>
    </w:p>
    <w:p w:rsidR="004C21DF" w:rsidRDefault="004C21DF" w:rsidP="006D0B49">
      <w:pPr>
        <w:pStyle w:val="Paragraphedeliste"/>
        <w:numPr>
          <w:ilvl w:val="0"/>
          <w:numId w:val="1"/>
        </w:numPr>
        <w:spacing w:before="120"/>
        <w:ind w:left="782" w:hanging="357"/>
        <w:jc w:val="both"/>
        <w:rPr>
          <w:rFonts w:asciiTheme="minorHAnsi" w:hAnsiTheme="minorHAnsi" w:cstheme="minorHAnsi"/>
        </w:rPr>
      </w:pPr>
      <w:r>
        <w:rPr>
          <w:rFonts w:asciiTheme="minorHAnsi" w:hAnsiTheme="minorHAnsi" w:cstheme="minorHAnsi"/>
        </w:rPr>
        <w:t xml:space="preserve">GIP Gérontologie-Alsace : enquête « Bien vieillir en Alsace » s’intéressant à l’isolement des personnes âgées de Gerstheim, </w:t>
      </w:r>
      <w:proofErr w:type="spellStart"/>
      <w:r>
        <w:rPr>
          <w:rFonts w:asciiTheme="minorHAnsi" w:hAnsiTheme="minorHAnsi" w:cstheme="minorHAnsi"/>
        </w:rPr>
        <w:t>Schnersheim</w:t>
      </w:r>
      <w:proofErr w:type="spellEnd"/>
      <w:r>
        <w:rPr>
          <w:rFonts w:asciiTheme="minorHAnsi" w:hAnsiTheme="minorHAnsi" w:cstheme="minorHAnsi"/>
        </w:rPr>
        <w:t>, un quartier d’Illkirch et trois quartiers strasbourgeois.</w:t>
      </w:r>
    </w:p>
    <w:p w:rsidR="004C21DF" w:rsidRDefault="004C21DF" w:rsidP="004C21DF">
      <w:pPr>
        <w:pStyle w:val="Paragraphedeliste"/>
        <w:numPr>
          <w:ilvl w:val="0"/>
          <w:numId w:val="1"/>
        </w:numPr>
        <w:spacing w:before="120"/>
        <w:jc w:val="both"/>
        <w:rPr>
          <w:rFonts w:asciiTheme="minorHAnsi" w:hAnsiTheme="minorHAnsi" w:cstheme="minorHAnsi"/>
        </w:rPr>
      </w:pPr>
      <w:r>
        <w:rPr>
          <w:rFonts w:asciiTheme="minorHAnsi" w:hAnsiTheme="minorHAnsi" w:cstheme="minorHAnsi"/>
        </w:rPr>
        <w:t>REUNICA : enquête sur la vulnérabilité des personnes âgées membres de cet organisme (partenariat avec le CERIS et l’ORSAL).</w:t>
      </w:r>
    </w:p>
    <w:p w:rsidR="00FE1223" w:rsidRDefault="00D32D30" w:rsidP="00FE1223">
      <w:pPr>
        <w:spacing w:before="120"/>
        <w:ind w:left="425"/>
        <w:jc w:val="both"/>
        <w:rPr>
          <w:rFonts w:asciiTheme="minorHAnsi" w:hAnsiTheme="minorHAnsi" w:cstheme="minorHAnsi"/>
        </w:rPr>
      </w:pPr>
      <w:r>
        <w:rPr>
          <w:rFonts w:asciiTheme="minorHAnsi" w:hAnsiTheme="minorHAnsi" w:cstheme="minorHAnsi"/>
        </w:rPr>
        <w:t xml:space="preserve">L’institut de démographie est associé </w:t>
      </w:r>
      <w:r w:rsidR="00FE1223">
        <w:rPr>
          <w:rFonts w:asciiTheme="minorHAnsi" w:hAnsiTheme="minorHAnsi" w:cstheme="minorHAnsi"/>
        </w:rPr>
        <w:t xml:space="preserve">à </w:t>
      </w:r>
      <w:r w:rsidR="006D0B49">
        <w:rPr>
          <w:rFonts w:asciiTheme="minorHAnsi" w:hAnsiTheme="minorHAnsi" w:cstheme="minorHAnsi"/>
        </w:rPr>
        <w:t>di</w:t>
      </w:r>
      <w:r w:rsidR="00FE1223">
        <w:rPr>
          <w:rFonts w:asciiTheme="minorHAnsi" w:hAnsiTheme="minorHAnsi" w:cstheme="minorHAnsi"/>
        </w:rPr>
        <w:t>verses enquêtes :</w:t>
      </w:r>
    </w:p>
    <w:p w:rsidR="00FE1223" w:rsidRDefault="00FE1223" w:rsidP="00FE1223">
      <w:pPr>
        <w:spacing w:before="120"/>
        <w:ind w:left="425"/>
        <w:jc w:val="both"/>
        <w:rPr>
          <w:rFonts w:asciiTheme="minorHAnsi" w:hAnsiTheme="minorHAnsi" w:cstheme="minorHAnsi"/>
        </w:rPr>
      </w:pPr>
      <w:r>
        <w:rPr>
          <w:rFonts w:asciiTheme="minorHAnsi" w:hAnsiTheme="minorHAnsi" w:cstheme="minorHAnsi"/>
        </w:rPr>
        <w:t>- P</w:t>
      </w:r>
      <w:r w:rsidR="00D32D30">
        <w:rPr>
          <w:rFonts w:asciiTheme="minorHAnsi" w:hAnsiTheme="minorHAnsi" w:cstheme="minorHAnsi"/>
        </w:rPr>
        <w:t xml:space="preserve">rojet de recherche sur le logement en développement durable CIMBEES dirigé par l’Institut d’Urbanisme et d’Aménagement Régional. </w:t>
      </w:r>
    </w:p>
    <w:p w:rsidR="00FE1223" w:rsidRDefault="00FE1223" w:rsidP="006D0B49">
      <w:pPr>
        <w:spacing w:before="60"/>
        <w:ind w:left="425"/>
        <w:jc w:val="both"/>
        <w:rPr>
          <w:rFonts w:asciiTheme="minorHAnsi" w:hAnsiTheme="minorHAnsi" w:cstheme="minorHAnsi"/>
        </w:rPr>
      </w:pPr>
      <w:r>
        <w:rPr>
          <w:rFonts w:asciiTheme="minorHAnsi" w:hAnsiTheme="minorHAnsi" w:cstheme="minorHAnsi"/>
        </w:rPr>
        <w:lastRenderedPageBreak/>
        <w:t xml:space="preserve">- Recensement de la population </w:t>
      </w:r>
      <w:r w:rsidR="000D09B6">
        <w:rPr>
          <w:rFonts w:asciiTheme="minorHAnsi" w:hAnsiTheme="minorHAnsi" w:cstheme="minorHAnsi"/>
        </w:rPr>
        <w:t xml:space="preserve">de Strasbourg </w:t>
      </w:r>
      <w:r w:rsidR="006D0B49">
        <w:rPr>
          <w:rFonts w:asciiTheme="minorHAnsi" w:hAnsiTheme="minorHAnsi" w:cstheme="minorHAnsi"/>
        </w:rPr>
        <w:t xml:space="preserve">piloté par la CUS et l’INSEE : </w:t>
      </w:r>
      <w:r>
        <w:rPr>
          <w:rFonts w:asciiTheme="minorHAnsi" w:hAnsiTheme="minorHAnsi" w:cstheme="minorHAnsi"/>
        </w:rPr>
        <w:t xml:space="preserve">participation de tous les étudiants </w:t>
      </w:r>
      <w:r w:rsidR="006D0B49">
        <w:rPr>
          <w:rFonts w:asciiTheme="minorHAnsi" w:hAnsiTheme="minorHAnsi" w:cstheme="minorHAnsi"/>
        </w:rPr>
        <w:t>en</w:t>
      </w:r>
      <w:r>
        <w:rPr>
          <w:rFonts w:asciiTheme="minorHAnsi" w:hAnsiTheme="minorHAnsi" w:cstheme="minorHAnsi"/>
        </w:rPr>
        <w:t xml:space="preserve"> licence de dém</w:t>
      </w:r>
      <w:r w:rsidR="000D09B6">
        <w:rPr>
          <w:rFonts w:asciiTheme="minorHAnsi" w:hAnsiTheme="minorHAnsi" w:cstheme="minorHAnsi"/>
        </w:rPr>
        <w:t>ographie à la phase de collecte (la convention établie avec la CUS prévoit une priorité de recrutement pour nos étudiants) et d’une grande partie des étudiants de première et deuxième année. Désormais les 45 agents recenseurs recrutés par la CUS chaque année sont tous des étudiants de la faculté.</w:t>
      </w:r>
    </w:p>
    <w:p w:rsidR="00C02AAE" w:rsidRDefault="00C02AAE" w:rsidP="006D0B49">
      <w:pPr>
        <w:spacing w:before="60"/>
        <w:ind w:left="425"/>
        <w:jc w:val="both"/>
        <w:rPr>
          <w:rFonts w:asciiTheme="minorHAnsi" w:hAnsiTheme="minorHAnsi" w:cstheme="minorHAnsi"/>
        </w:rPr>
      </w:pPr>
      <w:r>
        <w:rPr>
          <w:rFonts w:asciiTheme="minorHAnsi" w:hAnsiTheme="minorHAnsi" w:cstheme="minorHAnsi"/>
        </w:rPr>
        <w:t>- IDEX attractivité : EURO-ACADEMICUS « La nouvelle condition universitaire dans l’espace européen de l’enseignement supérieur et de la recherche » coordonné par Romuald Normand pour le laboratoire SAGE.</w:t>
      </w:r>
    </w:p>
    <w:p w:rsidR="00271EC2" w:rsidRDefault="004531BA" w:rsidP="00D051DD">
      <w:pPr>
        <w:spacing w:before="120"/>
        <w:ind w:left="425"/>
        <w:jc w:val="both"/>
        <w:rPr>
          <w:rFonts w:asciiTheme="minorHAnsi" w:hAnsiTheme="minorHAnsi" w:cstheme="minorHAnsi"/>
        </w:rPr>
      </w:pPr>
      <w:r>
        <w:rPr>
          <w:rFonts w:asciiTheme="minorHAnsi" w:hAnsiTheme="minorHAnsi" w:cstheme="minorHAnsi"/>
        </w:rPr>
        <w:t xml:space="preserve">La plupart des enseignants-chercheurs participent à des enquêtes </w:t>
      </w:r>
      <w:r w:rsidR="004378CE">
        <w:rPr>
          <w:rFonts w:asciiTheme="minorHAnsi" w:hAnsiTheme="minorHAnsi" w:cstheme="minorHAnsi"/>
        </w:rPr>
        <w:t>en association avec</w:t>
      </w:r>
      <w:r w:rsidR="00543FE3">
        <w:rPr>
          <w:rFonts w:asciiTheme="minorHAnsi" w:hAnsiTheme="minorHAnsi" w:cstheme="minorHAnsi"/>
        </w:rPr>
        <w:t xml:space="preserve"> l’INED </w:t>
      </w:r>
      <w:r>
        <w:rPr>
          <w:rFonts w:asciiTheme="minorHAnsi" w:hAnsiTheme="minorHAnsi" w:cstheme="minorHAnsi"/>
        </w:rPr>
        <w:t xml:space="preserve">ou </w:t>
      </w:r>
      <w:r w:rsidR="004378CE">
        <w:rPr>
          <w:rFonts w:asciiTheme="minorHAnsi" w:hAnsiTheme="minorHAnsi" w:cstheme="minorHAnsi"/>
        </w:rPr>
        <w:t xml:space="preserve">à des </w:t>
      </w:r>
      <w:r>
        <w:rPr>
          <w:rFonts w:asciiTheme="minorHAnsi" w:hAnsiTheme="minorHAnsi" w:cstheme="minorHAnsi"/>
        </w:rPr>
        <w:t xml:space="preserve">projets </w:t>
      </w:r>
      <w:r w:rsidR="004378CE">
        <w:rPr>
          <w:rFonts w:asciiTheme="minorHAnsi" w:hAnsiTheme="minorHAnsi" w:cstheme="minorHAnsi"/>
        </w:rPr>
        <w:t xml:space="preserve">de formation doctorale </w:t>
      </w:r>
      <w:r>
        <w:rPr>
          <w:rFonts w:asciiTheme="minorHAnsi" w:hAnsiTheme="minorHAnsi" w:cstheme="minorHAnsi"/>
        </w:rPr>
        <w:t>d’envergure nationale :</w:t>
      </w:r>
    </w:p>
    <w:p w:rsidR="004531BA" w:rsidRDefault="00543FE3" w:rsidP="004531BA">
      <w:pPr>
        <w:pStyle w:val="Paragraphedeliste"/>
        <w:numPr>
          <w:ilvl w:val="0"/>
          <w:numId w:val="1"/>
        </w:numPr>
        <w:spacing w:before="120"/>
        <w:jc w:val="both"/>
        <w:rPr>
          <w:rFonts w:asciiTheme="minorHAnsi" w:hAnsiTheme="minorHAnsi" w:cstheme="minorHAnsi"/>
        </w:rPr>
      </w:pPr>
      <w:r>
        <w:rPr>
          <w:rFonts w:asciiTheme="minorHAnsi" w:hAnsiTheme="minorHAnsi" w:cstheme="minorHAnsi"/>
        </w:rPr>
        <w:t xml:space="preserve">Enquête </w:t>
      </w:r>
      <w:r w:rsidR="006F3C7F">
        <w:rPr>
          <w:rFonts w:asciiTheme="minorHAnsi" w:hAnsiTheme="minorHAnsi" w:cstheme="minorHAnsi"/>
        </w:rPr>
        <w:t>EFL 2011 (</w:t>
      </w:r>
      <w:r w:rsidR="004378CE" w:rsidRPr="006F3C7F">
        <w:rPr>
          <w:rFonts w:asciiTheme="minorHAnsi" w:hAnsiTheme="minorHAnsi" w:cstheme="minorHAnsi"/>
        </w:rPr>
        <w:t>Famille</w:t>
      </w:r>
      <w:r w:rsidR="006F3C7F">
        <w:rPr>
          <w:rFonts w:asciiTheme="minorHAnsi" w:hAnsiTheme="minorHAnsi" w:cstheme="minorHAnsi"/>
        </w:rPr>
        <w:t xml:space="preserve"> et L</w:t>
      </w:r>
      <w:r w:rsidRPr="006F3C7F">
        <w:rPr>
          <w:rFonts w:asciiTheme="minorHAnsi" w:hAnsiTheme="minorHAnsi" w:cstheme="minorHAnsi"/>
        </w:rPr>
        <w:t>ogements</w:t>
      </w:r>
      <w:r w:rsidR="004378CE">
        <w:rPr>
          <w:rFonts w:asciiTheme="minorHAnsi" w:hAnsiTheme="minorHAnsi" w:cstheme="minorHAnsi"/>
        </w:rPr>
        <w:t xml:space="preserve">) </w:t>
      </w:r>
      <w:r>
        <w:rPr>
          <w:rFonts w:asciiTheme="minorHAnsi" w:hAnsiTheme="minorHAnsi" w:cstheme="minorHAnsi"/>
        </w:rPr>
        <w:t xml:space="preserve">et projet </w:t>
      </w:r>
      <w:r w:rsidR="006F3C7F">
        <w:rPr>
          <w:rFonts w:asciiTheme="minorHAnsi" w:hAnsiTheme="minorHAnsi" w:cstheme="minorHAnsi"/>
        </w:rPr>
        <w:t>Lili (</w:t>
      </w:r>
      <w:r w:rsidRPr="006F3C7F">
        <w:rPr>
          <w:rFonts w:asciiTheme="minorHAnsi" w:hAnsiTheme="minorHAnsi" w:cstheme="minorHAnsi"/>
        </w:rPr>
        <w:t>Des Lieux aux Liens</w:t>
      </w:r>
      <w:r w:rsidR="004378CE">
        <w:rPr>
          <w:rFonts w:asciiTheme="minorHAnsi" w:hAnsiTheme="minorHAnsi" w:cstheme="minorHAnsi"/>
        </w:rPr>
        <w:t>)</w:t>
      </w:r>
    </w:p>
    <w:p w:rsidR="004378CE" w:rsidRDefault="004378CE" w:rsidP="004531BA">
      <w:pPr>
        <w:pStyle w:val="Paragraphedeliste"/>
        <w:numPr>
          <w:ilvl w:val="0"/>
          <w:numId w:val="1"/>
        </w:numPr>
        <w:spacing w:before="120"/>
        <w:jc w:val="both"/>
        <w:rPr>
          <w:rFonts w:asciiTheme="minorHAnsi" w:hAnsiTheme="minorHAnsi" w:cstheme="minorHAnsi"/>
        </w:rPr>
      </w:pPr>
      <w:r>
        <w:rPr>
          <w:rFonts w:asciiTheme="minorHAnsi" w:hAnsiTheme="minorHAnsi" w:cstheme="minorHAnsi"/>
        </w:rPr>
        <w:t>Enquête ELFE (</w:t>
      </w:r>
      <w:proofErr w:type="spellStart"/>
      <w:r w:rsidR="006F3C7F">
        <w:rPr>
          <w:rFonts w:asciiTheme="minorHAnsi" w:hAnsiTheme="minorHAnsi" w:cstheme="minorHAnsi"/>
        </w:rPr>
        <w:t>Etude</w:t>
      </w:r>
      <w:proofErr w:type="spellEnd"/>
      <w:r w:rsidR="006F3C7F">
        <w:rPr>
          <w:rFonts w:asciiTheme="minorHAnsi" w:hAnsiTheme="minorHAnsi" w:cstheme="minorHAnsi"/>
        </w:rPr>
        <w:t xml:space="preserve"> L</w:t>
      </w:r>
      <w:r>
        <w:rPr>
          <w:rFonts w:asciiTheme="minorHAnsi" w:hAnsiTheme="minorHAnsi" w:cstheme="minorHAnsi"/>
        </w:rPr>
        <w:t>ongitudinal</w:t>
      </w:r>
      <w:r w:rsidR="006F3C7F">
        <w:rPr>
          <w:rFonts w:asciiTheme="minorHAnsi" w:hAnsiTheme="minorHAnsi" w:cstheme="minorHAnsi"/>
        </w:rPr>
        <w:t>e F</w:t>
      </w:r>
      <w:r>
        <w:rPr>
          <w:rFonts w:asciiTheme="minorHAnsi" w:hAnsiTheme="minorHAnsi" w:cstheme="minorHAnsi"/>
        </w:rPr>
        <w:t>rançaise depuis l’</w:t>
      </w:r>
      <w:r w:rsidR="006F3C7F">
        <w:rPr>
          <w:rFonts w:asciiTheme="minorHAnsi" w:hAnsiTheme="minorHAnsi" w:cstheme="minorHAnsi"/>
        </w:rPr>
        <w:t>E</w:t>
      </w:r>
      <w:r>
        <w:rPr>
          <w:rFonts w:asciiTheme="minorHAnsi" w:hAnsiTheme="minorHAnsi" w:cstheme="minorHAnsi"/>
        </w:rPr>
        <w:t>nfance)</w:t>
      </w:r>
    </w:p>
    <w:p w:rsidR="004378CE" w:rsidRDefault="004378CE" w:rsidP="004531BA">
      <w:pPr>
        <w:pStyle w:val="Paragraphedeliste"/>
        <w:numPr>
          <w:ilvl w:val="0"/>
          <w:numId w:val="1"/>
        </w:numPr>
        <w:spacing w:before="120"/>
        <w:jc w:val="both"/>
        <w:rPr>
          <w:rFonts w:asciiTheme="minorHAnsi" w:hAnsiTheme="minorHAnsi" w:cstheme="minorHAnsi"/>
        </w:rPr>
      </w:pPr>
      <w:r>
        <w:rPr>
          <w:rFonts w:asciiTheme="minorHAnsi" w:hAnsiTheme="minorHAnsi" w:cstheme="minorHAnsi"/>
        </w:rPr>
        <w:t>Enquête ERFI-GGS (</w:t>
      </w:r>
      <w:proofErr w:type="spellStart"/>
      <w:r w:rsidR="006F3C7F">
        <w:rPr>
          <w:rFonts w:asciiTheme="minorHAnsi" w:hAnsiTheme="minorHAnsi" w:cstheme="minorHAnsi"/>
        </w:rPr>
        <w:t>Etude</w:t>
      </w:r>
      <w:proofErr w:type="spellEnd"/>
      <w:r w:rsidR="006F3C7F">
        <w:rPr>
          <w:rFonts w:asciiTheme="minorHAnsi" w:hAnsiTheme="minorHAnsi" w:cstheme="minorHAnsi"/>
        </w:rPr>
        <w:t xml:space="preserve"> des Relations Familiales et I</w:t>
      </w:r>
      <w:r>
        <w:rPr>
          <w:rFonts w:asciiTheme="minorHAnsi" w:hAnsiTheme="minorHAnsi" w:cstheme="minorHAnsi"/>
        </w:rPr>
        <w:t>ntergénérationnelles)</w:t>
      </w:r>
    </w:p>
    <w:p w:rsidR="004378CE" w:rsidRDefault="004378CE" w:rsidP="004531BA">
      <w:pPr>
        <w:pStyle w:val="Paragraphedeliste"/>
        <w:numPr>
          <w:ilvl w:val="0"/>
          <w:numId w:val="1"/>
        </w:numPr>
        <w:spacing w:before="120"/>
        <w:jc w:val="both"/>
        <w:rPr>
          <w:rFonts w:asciiTheme="minorHAnsi" w:hAnsiTheme="minorHAnsi" w:cstheme="minorHAnsi"/>
        </w:rPr>
      </w:pPr>
      <w:r>
        <w:rPr>
          <w:rFonts w:asciiTheme="minorHAnsi" w:hAnsiTheme="minorHAnsi" w:cstheme="minorHAnsi"/>
        </w:rPr>
        <w:t>Enquête MFV (Migrations, Famille et Vieillissement</w:t>
      </w:r>
      <w:r w:rsidR="006F3C7F">
        <w:rPr>
          <w:rFonts w:asciiTheme="minorHAnsi" w:hAnsiTheme="minorHAnsi" w:cstheme="minorHAnsi"/>
        </w:rPr>
        <w:t>)</w:t>
      </w:r>
    </w:p>
    <w:p w:rsidR="006F3C7F" w:rsidRDefault="006F3C7F" w:rsidP="00C02AAE">
      <w:pPr>
        <w:spacing w:before="120"/>
        <w:jc w:val="both"/>
        <w:rPr>
          <w:rFonts w:asciiTheme="minorHAnsi" w:hAnsiTheme="minorHAnsi" w:cstheme="minorHAnsi"/>
        </w:rPr>
      </w:pPr>
    </w:p>
    <w:p w:rsidR="006407D0" w:rsidRDefault="006407D0" w:rsidP="00207D31">
      <w:pPr>
        <w:spacing w:before="120"/>
        <w:jc w:val="both"/>
        <w:rPr>
          <w:rFonts w:asciiTheme="minorHAnsi" w:hAnsiTheme="minorHAnsi" w:cstheme="minorHAnsi"/>
        </w:rPr>
      </w:pPr>
    </w:p>
    <w:p w:rsidR="00A07FB3" w:rsidRDefault="00207D31" w:rsidP="00A07FB3">
      <w:pPr>
        <w:tabs>
          <w:tab w:val="left" w:pos="9072"/>
        </w:tabs>
        <w:spacing w:before="240"/>
        <w:jc w:val="both"/>
        <w:rPr>
          <w:rFonts w:asciiTheme="minorHAnsi" w:hAnsiTheme="minorHAnsi" w:cstheme="minorHAnsi"/>
        </w:rPr>
      </w:pPr>
      <w:r>
        <w:rPr>
          <w:rFonts w:ascii="Arial" w:hAnsi="Arial" w:cs="Arial"/>
          <w:b/>
        </w:rPr>
        <w:t>●</w:t>
      </w:r>
      <w:r w:rsidR="00A07FB3" w:rsidRPr="007323A3">
        <w:rPr>
          <w:rFonts w:asciiTheme="minorHAnsi" w:hAnsiTheme="minorHAnsi" w:cstheme="minorHAnsi"/>
          <w:b/>
        </w:rPr>
        <w:t xml:space="preserve"> </w:t>
      </w:r>
      <w:proofErr w:type="spellStart"/>
      <w:r>
        <w:rPr>
          <w:rFonts w:asciiTheme="minorHAnsi" w:hAnsiTheme="minorHAnsi" w:cstheme="minorHAnsi"/>
          <w:b/>
        </w:rPr>
        <w:t>Eléments</w:t>
      </w:r>
      <w:proofErr w:type="spellEnd"/>
      <w:r>
        <w:rPr>
          <w:rFonts w:asciiTheme="minorHAnsi" w:hAnsiTheme="minorHAnsi" w:cstheme="minorHAnsi"/>
          <w:b/>
        </w:rPr>
        <w:t xml:space="preserve"> d’information complémentaire</w:t>
      </w:r>
      <w:r w:rsidR="002B4975">
        <w:rPr>
          <w:rFonts w:asciiTheme="minorHAnsi" w:hAnsiTheme="minorHAnsi" w:cstheme="minorHAnsi"/>
          <w:b/>
        </w:rPr>
        <w:t>s</w:t>
      </w:r>
      <w:r w:rsidR="00A07FB3" w:rsidRPr="006407D0">
        <w:rPr>
          <w:rFonts w:asciiTheme="minorHAnsi" w:hAnsiTheme="minorHAnsi" w:cstheme="minorHAnsi"/>
          <w:b/>
        </w:rPr>
        <w:t> :</w:t>
      </w:r>
    </w:p>
    <w:p w:rsidR="00A07FB3" w:rsidRDefault="00A07FB3" w:rsidP="00A06E41">
      <w:pPr>
        <w:tabs>
          <w:tab w:val="left" w:pos="9072"/>
        </w:tabs>
        <w:spacing w:before="60"/>
        <w:ind w:firstLine="425"/>
        <w:jc w:val="both"/>
        <w:rPr>
          <w:rFonts w:asciiTheme="minorHAnsi" w:hAnsiTheme="minorHAnsi" w:cstheme="minorHAnsi"/>
        </w:rPr>
      </w:pPr>
      <w:r>
        <w:rPr>
          <w:rFonts w:asciiTheme="minorHAnsi" w:hAnsiTheme="minorHAnsi" w:cstheme="minorHAnsi"/>
        </w:rPr>
        <w:t xml:space="preserve">- </w:t>
      </w:r>
      <w:r w:rsidR="00207D31">
        <w:rPr>
          <w:rFonts w:asciiTheme="minorHAnsi" w:hAnsiTheme="minorHAnsi" w:cstheme="minorHAnsi"/>
        </w:rPr>
        <w:t>Le p</w:t>
      </w:r>
      <w:r>
        <w:rPr>
          <w:rFonts w:asciiTheme="minorHAnsi" w:hAnsiTheme="minorHAnsi" w:cstheme="minorHAnsi"/>
        </w:rPr>
        <w:t xml:space="preserve">rojet </w:t>
      </w:r>
      <w:proofErr w:type="spellStart"/>
      <w:r w:rsidR="00207D31">
        <w:rPr>
          <w:rFonts w:asciiTheme="minorHAnsi" w:hAnsiTheme="minorHAnsi" w:cstheme="minorHAnsi"/>
        </w:rPr>
        <w:t>IdEX</w:t>
      </w:r>
      <w:proofErr w:type="spellEnd"/>
      <w:r w:rsidR="00207D31">
        <w:rPr>
          <w:rFonts w:asciiTheme="minorHAnsi" w:hAnsiTheme="minorHAnsi" w:cstheme="minorHAnsi"/>
        </w:rPr>
        <w:t xml:space="preserve"> présenté par l’institut de démographie (master bi-diplômant avec l’INRS de Montréal) est accepté. L’intégralité de l’aide financière demandée (65</w:t>
      </w:r>
      <w:r w:rsidR="00C02AAE">
        <w:rPr>
          <w:rFonts w:asciiTheme="minorHAnsi" w:hAnsiTheme="minorHAnsi" w:cstheme="minorHAnsi"/>
        </w:rPr>
        <w:t> </w:t>
      </w:r>
      <w:r w:rsidR="00207D31">
        <w:rPr>
          <w:rFonts w:asciiTheme="minorHAnsi" w:hAnsiTheme="minorHAnsi" w:cstheme="minorHAnsi"/>
        </w:rPr>
        <w:t>000</w:t>
      </w:r>
      <w:r w:rsidR="00C02AAE">
        <w:rPr>
          <w:rFonts w:asciiTheme="minorHAnsi" w:hAnsiTheme="minorHAnsi" w:cstheme="minorHAnsi"/>
        </w:rPr>
        <w:t xml:space="preserve"> </w:t>
      </w:r>
      <w:r w:rsidR="00207D31">
        <w:rPr>
          <w:rFonts w:asciiTheme="minorHAnsi" w:hAnsiTheme="minorHAnsi" w:cstheme="minorHAnsi"/>
        </w:rPr>
        <w:t>€) est accordée</w:t>
      </w:r>
      <w:r w:rsidR="00E27152">
        <w:rPr>
          <w:rFonts w:asciiTheme="minorHAnsi" w:hAnsiTheme="minorHAnsi" w:cstheme="minorHAnsi"/>
        </w:rPr>
        <w:t>.</w:t>
      </w:r>
    </w:p>
    <w:p w:rsidR="002B4975" w:rsidRDefault="002B4975" w:rsidP="002B4975">
      <w:pPr>
        <w:spacing w:before="120"/>
        <w:ind w:firstLine="426"/>
      </w:pPr>
      <w:r>
        <w:rPr>
          <w:rFonts w:asciiTheme="minorHAnsi" w:hAnsiTheme="minorHAnsi" w:cstheme="minorHAnsi"/>
        </w:rPr>
        <w:t>- Mise en ligne du site internet de l’institut de démographie </w:t>
      </w:r>
      <w:hyperlink r:id="rId6" w:history="1">
        <w:r w:rsidRPr="00FD18E0">
          <w:rPr>
            <w:rStyle w:val="Lienhypertexte"/>
          </w:rPr>
          <w:t>http://idus.unistra.fr/</w:t>
        </w:r>
      </w:hyperlink>
      <w:r>
        <w:rPr>
          <w:rStyle w:val="Lienhypertexte"/>
          <w:u w:val="none"/>
        </w:rPr>
        <w:t>.</w:t>
      </w:r>
      <w:r w:rsidRPr="002B4975">
        <w:rPr>
          <w:rStyle w:val="Lienhypertexte"/>
          <w:color w:val="auto"/>
          <w:u w:val="none"/>
        </w:rPr>
        <w:t xml:space="preserve"> Ce</w:t>
      </w:r>
      <w:r>
        <w:rPr>
          <w:rStyle w:val="Lienhypertexte"/>
          <w:color w:val="auto"/>
          <w:u w:val="none"/>
        </w:rPr>
        <w:t xml:space="preserve"> site propose</w:t>
      </w:r>
      <w:r>
        <w:t xml:space="preserve"> les rubriques habituelles (enseignements, équipe pédagogique, activités de recherche, agenda</w:t>
      </w:r>
      <w:r w:rsidR="00C02AAE">
        <w:t>,</w:t>
      </w:r>
      <w:r>
        <w:t xml:space="preserve"> etc</w:t>
      </w:r>
      <w:r w:rsidR="00C02AAE">
        <w:t>.</w:t>
      </w:r>
      <w:r>
        <w:t>) et un historique très complet de l’institut de démographie que l’on doit au travail remarquable de Claude Régnier.</w:t>
      </w:r>
    </w:p>
    <w:p w:rsidR="00A06E41" w:rsidRDefault="00D32D30" w:rsidP="00D32D30">
      <w:pPr>
        <w:tabs>
          <w:tab w:val="left" w:pos="9072"/>
        </w:tabs>
        <w:spacing w:before="60"/>
        <w:ind w:firstLine="425"/>
        <w:jc w:val="both"/>
        <w:rPr>
          <w:rFonts w:asciiTheme="minorHAnsi" w:hAnsiTheme="minorHAnsi" w:cstheme="minorHAnsi"/>
        </w:rPr>
      </w:pPr>
      <w:r>
        <w:rPr>
          <w:rFonts w:asciiTheme="minorHAnsi" w:hAnsiTheme="minorHAnsi" w:cstheme="minorHAnsi"/>
        </w:rPr>
        <w:t xml:space="preserve">- </w:t>
      </w:r>
      <w:r w:rsidR="002B4975">
        <w:rPr>
          <w:rFonts w:asciiTheme="minorHAnsi" w:hAnsiTheme="minorHAnsi" w:cstheme="minorHAnsi"/>
        </w:rPr>
        <w:t>Offre d’un DU de démographie</w:t>
      </w:r>
      <w:r>
        <w:rPr>
          <w:rFonts w:asciiTheme="minorHAnsi" w:hAnsiTheme="minorHAnsi" w:cstheme="minorHAnsi"/>
        </w:rPr>
        <w:t>. Cette formation</w:t>
      </w:r>
      <w:r w:rsidR="00A06E41">
        <w:rPr>
          <w:rFonts w:asciiTheme="minorHAnsi" w:hAnsiTheme="minorHAnsi" w:cstheme="minorHAnsi"/>
        </w:rPr>
        <w:t xml:space="preserve"> autofinancé</w:t>
      </w:r>
      <w:r>
        <w:rPr>
          <w:rFonts w:asciiTheme="minorHAnsi" w:hAnsiTheme="minorHAnsi" w:cstheme="minorHAnsi"/>
        </w:rPr>
        <w:t>e</w:t>
      </w:r>
      <w:r w:rsidR="00A06E41">
        <w:rPr>
          <w:rFonts w:asciiTheme="minorHAnsi" w:hAnsiTheme="minorHAnsi" w:cstheme="minorHAnsi"/>
        </w:rPr>
        <w:t xml:space="preserve"> </w:t>
      </w:r>
      <w:r w:rsidR="00C02AAE">
        <w:rPr>
          <w:rFonts w:asciiTheme="minorHAnsi" w:hAnsiTheme="minorHAnsi" w:cstheme="minorHAnsi"/>
        </w:rPr>
        <w:t>est ouverte à partir d</w:t>
      </w:r>
      <w:r w:rsidR="00A06E41">
        <w:rPr>
          <w:rFonts w:asciiTheme="minorHAnsi" w:hAnsiTheme="minorHAnsi" w:cstheme="minorHAnsi"/>
        </w:rPr>
        <w:t xml:space="preserve">’un seuil </w:t>
      </w:r>
      <w:r w:rsidR="00A06E41" w:rsidRPr="00D32D30">
        <w:rPr>
          <w:rFonts w:asciiTheme="minorHAnsi" w:hAnsiTheme="minorHAnsi" w:cstheme="minorHAnsi"/>
        </w:rPr>
        <w:t>de 6 candidatures</w:t>
      </w:r>
      <w:r w:rsidR="00C02AAE">
        <w:rPr>
          <w:rFonts w:asciiTheme="minorHAnsi" w:hAnsiTheme="minorHAnsi" w:cstheme="minorHAnsi"/>
        </w:rPr>
        <w:t xml:space="preserve"> pour l’ensemble du </w:t>
      </w:r>
      <w:proofErr w:type="spellStart"/>
      <w:r w:rsidR="00C02AAE">
        <w:rPr>
          <w:rFonts w:asciiTheme="minorHAnsi" w:hAnsiTheme="minorHAnsi" w:cstheme="minorHAnsi"/>
        </w:rPr>
        <w:t>DU</w:t>
      </w:r>
      <w:proofErr w:type="spellEnd"/>
      <w:r w:rsidR="00C02AAE">
        <w:rPr>
          <w:rFonts w:asciiTheme="minorHAnsi" w:hAnsiTheme="minorHAnsi" w:cstheme="minorHAnsi"/>
        </w:rPr>
        <w:t xml:space="preserve"> et 4 pour chaque module</w:t>
      </w:r>
      <w:r w:rsidR="00A06E41" w:rsidRPr="00D32D30">
        <w:rPr>
          <w:rFonts w:asciiTheme="minorHAnsi" w:hAnsiTheme="minorHAnsi" w:cstheme="minorHAnsi"/>
        </w:rPr>
        <w:t>.</w:t>
      </w:r>
      <w:bookmarkStart w:id="0" w:name="_GoBack"/>
      <w:bookmarkEnd w:id="0"/>
    </w:p>
    <w:p w:rsidR="00D32D30" w:rsidRPr="00A06E41" w:rsidRDefault="00D32D30" w:rsidP="002B4975">
      <w:pPr>
        <w:tabs>
          <w:tab w:val="left" w:pos="9072"/>
        </w:tabs>
        <w:spacing w:before="60"/>
        <w:jc w:val="both"/>
        <w:rPr>
          <w:rFonts w:asciiTheme="minorHAnsi" w:hAnsiTheme="minorHAnsi" w:cstheme="minorHAnsi"/>
        </w:rPr>
      </w:pPr>
    </w:p>
    <w:sectPr w:rsidR="00D32D30" w:rsidRPr="00A06E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33E87"/>
    <w:multiLevelType w:val="hybridMultilevel"/>
    <w:tmpl w:val="632AD470"/>
    <w:lvl w:ilvl="0" w:tplc="A2CE5640">
      <w:numFmt w:val="bullet"/>
      <w:lvlText w:val="-"/>
      <w:lvlJc w:val="left"/>
      <w:pPr>
        <w:ind w:left="785" w:hanging="360"/>
      </w:pPr>
      <w:rPr>
        <w:rFonts w:ascii="Calibri" w:eastAsiaTheme="minorHAnsi" w:hAnsi="Calibri" w:cs="Calibri"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F78"/>
    <w:rsid w:val="0003780C"/>
    <w:rsid w:val="000D09B6"/>
    <w:rsid w:val="000D2705"/>
    <w:rsid w:val="00112336"/>
    <w:rsid w:val="001E050E"/>
    <w:rsid w:val="00207D31"/>
    <w:rsid w:val="00220C85"/>
    <w:rsid w:val="0023012E"/>
    <w:rsid w:val="00250A90"/>
    <w:rsid w:val="00271EC2"/>
    <w:rsid w:val="00282538"/>
    <w:rsid w:val="002872C2"/>
    <w:rsid w:val="0029571F"/>
    <w:rsid w:val="002B4975"/>
    <w:rsid w:val="002C1DA6"/>
    <w:rsid w:val="002C2B64"/>
    <w:rsid w:val="002D5901"/>
    <w:rsid w:val="003144DF"/>
    <w:rsid w:val="003369C7"/>
    <w:rsid w:val="00391223"/>
    <w:rsid w:val="003C59F2"/>
    <w:rsid w:val="003F05A0"/>
    <w:rsid w:val="004109D4"/>
    <w:rsid w:val="004378CE"/>
    <w:rsid w:val="0044613A"/>
    <w:rsid w:val="004531BA"/>
    <w:rsid w:val="00476CC1"/>
    <w:rsid w:val="004A69F2"/>
    <w:rsid w:val="004C21DF"/>
    <w:rsid w:val="004D44C6"/>
    <w:rsid w:val="004F3E91"/>
    <w:rsid w:val="00517C5F"/>
    <w:rsid w:val="00543FE3"/>
    <w:rsid w:val="0055457A"/>
    <w:rsid w:val="00573C3D"/>
    <w:rsid w:val="00590AC8"/>
    <w:rsid w:val="005946AA"/>
    <w:rsid w:val="005B78AB"/>
    <w:rsid w:val="005C3B04"/>
    <w:rsid w:val="006407D0"/>
    <w:rsid w:val="00647354"/>
    <w:rsid w:val="006502FA"/>
    <w:rsid w:val="0067612B"/>
    <w:rsid w:val="0068323B"/>
    <w:rsid w:val="00691F78"/>
    <w:rsid w:val="00695AF5"/>
    <w:rsid w:val="006D0B49"/>
    <w:rsid w:val="006D67CE"/>
    <w:rsid w:val="006D7897"/>
    <w:rsid w:val="006D7D6D"/>
    <w:rsid w:val="006E0357"/>
    <w:rsid w:val="006F3C7F"/>
    <w:rsid w:val="0072020D"/>
    <w:rsid w:val="00721D56"/>
    <w:rsid w:val="00723681"/>
    <w:rsid w:val="007323A3"/>
    <w:rsid w:val="00740D45"/>
    <w:rsid w:val="008716D6"/>
    <w:rsid w:val="00882DFA"/>
    <w:rsid w:val="008C2568"/>
    <w:rsid w:val="0090546A"/>
    <w:rsid w:val="0092384A"/>
    <w:rsid w:val="00934F64"/>
    <w:rsid w:val="00976288"/>
    <w:rsid w:val="009A006E"/>
    <w:rsid w:val="009F3412"/>
    <w:rsid w:val="00A06E41"/>
    <w:rsid w:val="00A07FB3"/>
    <w:rsid w:val="00A252D0"/>
    <w:rsid w:val="00AB6A37"/>
    <w:rsid w:val="00AC18EE"/>
    <w:rsid w:val="00B65C28"/>
    <w:rsid w:val="00B76E39"/>
    <w:rsid w:val="00B92390"/>
    <w:rsid w:val="00BA462D"/>
    <w:rsid w:val="00C02AAE"/>
    <w:rsid w:val="00C20226"/>
    <w:rsid w:val="00C232FF"/>
    <w:rsid w:val="00C26124"/>
    <w:rsid w:val="00CB3E3F"/>
    <w:rsid w:val="00D051DD"/>
    <w:rsid w:val="00D32D30"/>
    <w:rsid w:val="00D66FB0"/>
    <w:rsid w:val="00D814E4"/>
    <w:rsid w:val="00D960CA"/>
    <w:rsid w:val="00DF0D8C"/>
    <w:rsid w:val="00E20858"/>
    <w:rsid w:val="00E27152"/>
    <w:rsid w:val="00EE6423"/>
    <w:rsid w:val="00EF0571"/>
    <w:rsid w:val="00EF0AAD"/>
    <w:rsid w:val="00F1231C"/>
    <w:rsid w:val="00F27CF0"/>
    <w:rsid w:val="00F7773C"/>
    <w:rsid w:val="00FB13AD"/>
    <w:rsid w:val="00FC7FDB"/>
    <w:rsid w:val="00FE12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B3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23681"/>
    <w:rPr>
      <w:rFonts w:ascii="Tahoma" w:hAnsi="Tahoma" w:cs="Tahoma"/>
      <w:sz w:val="16"/>
      <w:szCs w:val="16"/>
    </w:rPr>
  </w:style>
  <w:style w:type="character" w:customStyle="1" w:styleId="TextedebullesCar">
    <w:name w:val="Texte de bulles Car"/>
    <w:basedOn w:val="Policepardfaut"/>
    <w:link w:val="Textedebulles"/>
    <w:uiPriority w:val="99"/>
    <w:semiHidden/>
    <w:rsid w:val="00723681"/>
    <w:rPr>
      <w:rFonts w:ascii="Tahoma" w:hAnsi="Tahoma" w:cs="Tahoma"/>
      <w:sz w:val="16"/>
      <w:szCs w:val="16"/>
    </w:rPr>
  </w:style>
  <w:style w:type="paragraph" w:styleId="Paragraphedeliste">
    <w:name w:val="List Paragraph"/>
    <w:basedOn w:val="Normal"/>
    <w:uiPriority w:val="34"/>
    <w:qFormat/>
    <w:rsid w:val="004C21DF"/>
    <w:pPr>
      <w:ind w:left="720"/>
      <w:contextualSpacing/>
    </w:pPr>
  </w:style>
  <w:style w:type="character" w:styleId="Lienhypertexte">
    <w:name w:val="Hyperlink"/>
    <w:basedOn w:val="Policepardfaut"/>
    <w:uiPriority w:val="99"/>
    <w:unhideWhenUsed/>
    <w:rsid w:val="002B49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B3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23681"/>
    <w:rPr>
      <w:rFonts w:ascii="Tahoma" w:hAnsi="Tahoma" w:cs="Tahoma"/>
      <w:sz w:val="16"/>
      <w:szCs w:val="16"/>
    </w:rPr>
  </w:style>
  <w:style w:type="character" w:customStyle="1" w:styleId="TextedebullesCar">
    <w:name w:val="Texte de bulles Car"/>
    <w:basedOn w:val="Policepardfaut"/>
    <w:link w:val="Textedebulles"/>
    <w:uiPriority w:val="99"/>
    <w:semiHidden/>
    <w:rsid w:val="00723681"/>
    <w:rPr>
      <w:rFonts w:ascii="Tahoma" w:hAnsi="Tahoma" w:cs="Tahoma"/>
      <w:sz w:val="16"/>
      <w:szCs w:val="16"/>
    </w:rPr>
  </w:style>
  <w:style w:type="paragraph" w:styleId="Paragraphedeliste">
    <w:name w:val="List Paragraph"/>
    <w:basedOn w:val="Normal"/>
    <w:uiPriority w:val="34"/>
    <w:qFormat/>
    <w:rsid w:val="004C21DF"/>
    <w:pPr>
      <w:ind w:left="720"/>
      <w:contextualSpacing/>
    </w:pPr>
  </w:style>
  <w:style w:type="character" w:styleId="Lienhypertexte">
    <w:name w:val="Hyperlink"/>
    <w:basedOn w:val="Policepardfaut"/>
    <w:uiPriority w:val="99"/>
    <w:unhideWhenUsed/>
    <w:rsid w:val="002B49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51155">
      <w:bodyDiv w:val="1"/>
      <w:marLeft w:val="0"/>
      <w:marRight w:val="0"/>
      <w:marTop w:val="0"/>
      <w:marBottom w:val="0"/>
      <w:divBdr>
        <w:top w:val="none" w:sz="0" w:space="0" w:color="auto"/>
        <w:left w:val="none" w:sz="0" w:space="0" w:color="auto"/>
        <w:bottom w:val="none" w:sz="0" w:space="0" w:color="auto"/>
        <w:right w:val="none" w:sz="0" w:space="0" w:color="auto"/>
      </w:divBdr>
    </w:div>
    <w:div w:id="349455560">
      <w:bodyDiv w:val="1"/>
      <w:marLeft w:val="0"/>
      <w:marRight w:val="0"/>
      <w:marTop w:val="0"/>
      <w:marBottom w:val="0"/>
      <w:divBdr>
        <w:top w:val="none" w:sz="0" w:space="0" w:color="auto"/>
        <w:left w:val="none" w:sz="0" w:space="0" w:color="auto"/>
        <w:bottom w:val="none" w:sz="0" w:space="0" w:color="auto"/>
        <w:right w:val="none" w:sz="0" w:space="0" w:color="auto"/>
      </w:divBdr>
    </w:div>
    <w:div w:id="628976378">
      <w:bodyDiv w:val="1"/>
      <w:marLeft w:val="0"/>
      <w:marRight w:val="0"/>
      <w:marTop w:val="0"/>
      <w:marBottom w:val="0"/>
      <w:divBdr>
        <w:top w:val="none" w:sz="0" w:space="0" w:color="auto"/>
        <w:left w:val="none" w:sz="0" w:space="0" w:color="auto"/>
        <w:bottom w:val="none" w:sz="0" w:space="0" w:color="auto"/>
        <w:right w:val="none" w:sz="0" w:space="0" w:color="auto"/>
      </w:divBdr>
    </w:div>
    <w:div w:id="839349198">
      <w:bodyDiv w:val="1"/>
      <w:marLeft w:val="0"/>
      <w:marRight w:val="0"/>
      <w:marTop w:val="0"/>
      <w:marBottom w:val="0"/>
      <w:divBdr>
        <w:top w:val="none" w:sz="0" w:space="0" w:color="auto"/>
        <w:left w:val="none" w:sz="0" w:space="0" w:color="auto"/>
        <w:bottom w:val="none" w:sz="0" w:space="0" w:color="auto"/>
        <w:right w:val="none" w:sz="0" w:space="0" w:color="auto"/>
      </w:divBdr>
    </w:div>
    <w:div w:id="843784189">
      <w:bodyDiv w:val="1"/>
      <w:marLeft w:val="0"/>
      <w:marRight w:val="0"/>
      <w:marTop w:val="0"/>
      <w:marBottom w:val="0"/>
      <w:divBdr>
        <w:top w:val="none" w:sz="0" w:space="0" w:color="auto"/>
        <w:left w:val="none" w:sz="0" w:space="0" w:color="auto"/>
        <w:bottom w:val="none" w:sz="0" w:space="0" w:color="auto"/>
        <w:right w:val="none" w:sz="0" w:space="0" w:color="auto"/>
      </w:divBdr>
    </w:div>
    <w:div w:id="864517520">
      <w:bodyDiv w:val="1"/>
      <w:marLeft w:val="0"/>
      <w:marRight w:val="0"/>
      <w:marTop w:val="0"/>
      <w:marBottom w:val="0"/>
      <w:divBdr>
        <w:top w:val="none" w:sz="0" w:space="0" w:color="auto"/>
        <w:left w:val="none" w:sz="0" w:space="0" w:color="auto"/>
        <w:bottom w:val="none" w:sz="0" w:space="0" w:color="auto"/>
        <w:right w:val="none" w:sz="0" w:space="0" w:color="auto"/>
      </w:divBdr>
    </w:div>
    <w:div w:id="877468751">
      <w:bodyDiv w:val="1"/>
      <w:marLeft w:val="0"/>
      <w:marRight w:val="0"/>
      <w:marTop w:val="0"/>
      <w:marBottom w:val="0"/>
      <w:divBdr>
        <w:top w:val="none" w:sz="0" w:space="0" w:color="auto"/>
        <w:left w:val="none" w:sz="0" w:space="0" w:color="auto"/>
        <w:bottom w:val="none" w:sz="0" w:space="0" w:color="auto"/>
        <w:right w:val="none" w:sz="0" w:space="0" w:color="auto"/>
      </w:divBdr>
    </w:div>
    <w:div w:id="931474062">
      <w:bodyDiv w:val="1"/>
      <w:marLeft w:val="0"/>
      <w:marRight w:val="0"/>
      <w:marTop w:val="0"/>
      <w:marBottom w:val="0"/>
      <w:divBdr>
        <w:top w:val="none" w:sz="0" w:space="0" w:color="auto"/>
        <w:left w:val="none" w:sz="0" w:space="0" w:color="auto"/>
        <w:bottom w:val="none" w:sz="0" w:space="0" w:color="auto"/>
        <w:right w:val="none" w:sz="0" w:space="0" w:color="auto"/>
      </w:divBdr>
    </w:div>
    <w:div w:id="1488596102">
      <w:bodyDiv w:val="1"/>
      <w:marLeft w:val="0"/>
      <w:marRight w:val="0"/>
      <w:marTop w:val="0"/>
      <w:marBottom w:val="0"/>
      <w:divBdr>
        <w:top w:val="none" w:sz="0" w:space="0" w:color="auto"/>
        <w:left w:val="none" w:sz="0" w:space="0" w:color="auto"/>
        <w:bottom w:val="none" w:sz="0" w:space="0" w:color="auto"/>
        <w:right w:val="none" w:sz="0" w:space="0" w:color="auto"/>
      </w:divBdr>
    </w:div>
    <w:div w:id="1868254280">
      <w:bodyDiv w:val="1"/>
      <w:marLeft w:val="0"/>
      <w:marRight w:val="0"/>
      <w:marTop w:val="0"/>
      <w:marBottom w:val="0"/>
      <w:divBdr>
        <w:top w:val="none" w:sz="0" w:space="0" w:color="auto"/>
        <w:left w:val="none" w:sz="0" w:space="0" w:color="auto"/>
        <w:bottom w:val="none" w:sz="0" w:space="0" w:color="auto"/>
        <w:right w:val="none" w:sz="0" w:space="0" w:color="auto"/>
      </w:divBdr>
    </w:div>
    <w:div w:id="1933201654">
      <w:bodyDiv w:val="1"/>
      <w:marLeft w:val="0"/>
      <w:marRight w:val="0"/>
      <w:marTop w:val="0"/>
      <w:marBottom w:val="0"/>
      <w:divBdr>
        <w:top w:val="none" w:sz="0" w:space="0" w:color="auto"/>
        <w:left w:val="none" w:sz="0" w:space="0" w:color="auto"/>
        <w:bottom w:val="none" w:sz="0" w:space="0" w:color="auto"/>
        <w:right w:val="none" w:sz="0" w:space="0" w:color="auto"/>
      </w:divBdr>
    </w:div>
    <w:div w:id="211690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dus.unistra.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1343</TotalTime>
  <Pages>5</Pages>
  <Words>1745</Words>
  <Characters>9602</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Alain</dc:creator>
  <cp:lastModifiedBy>Alain</cp:lastModifiedBy>
  <cp:revision>18</cp:revision>
  <cp:lastPrinted>2014-05-19T10:29:00Z</cp:lastPrinted>
  <dcterms:created xsi:type="dcterms:W3CDTF">2013-06-13T08:35:00Z</dcterms:created>
  <dcterms:modified xsi:type="dcterms:W3CDTF">2014-05-21T07:44:00Z</dcterms:modified>
</cp:coreProperties>
</file>