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78" w:rsidRPr="00691F78" w:rsidRDefault="00691F78" w:rsidP="005B78AB">
      <w:pPr>
        <w:spacing w:before="120"/>
        <w:jc w:val="right"/>
        <w:rPr>
          <w:b/>
          <w:color w:val="7F7F7F" w:themeColor="text1" w:themeTint="80"/>
          <w:sz w:val="28"/>
          <w:szCs w:val="28"/>
        </w:rPr>
      </w:pPr>
      <w:r w:rsidRPr="00691F78">
        <w:rPr>
          <w:b/>
          <w:color w:val="7F7F7F" w:themeColor="text1" w:themeTint="80"/>
          <w:sz w:val="28"/>
          <w:szCs w:val="28"/>
        </w:rPr>
        <w:t>INSTITUT DE D</w:t>
      </w:r>
      <w:r w:rsidRPr="00691F78">
        <w:rPr>
          <w:rFonts w:cs="Calibri"/>
          <w:b/>
          <w:color w:val="7F7F7F" w:themeColor="text1" w:themeTint="80"/>
          <w:sz w:val="28"/>
          <w:szCs w:val="28"/>
        </w:rPr>
        <w:t>É</w:t>
      </w:r>
      <w:r w:rsidRPr="00691F78">
        <w:rPr>
          <w:b/>
          <w:color w:val="7F7F7F" w:themeColor="text1" w:themeTint="80"/>
          <w:sz w:val="28"/>
          <w:szCs w:val="28"/>
        </w:rPr>
        <w:t>MOGRAPHIE</w:t>
      </w:r>
    </w:p>
    <w:p w:rsidR="0044613A" w:rsidRPr="00691F78" w:rsidRDefault="00691F78" w:rsidP="002C1DA6">
      <w:pPr>
        <w:jc w:val="right"/>
        <w:rPr>
          <w:b/>
          <w:i/>
          <w:color w:val="7F7F7F" w:themeColor="text1" w:themeTint="80"/>
          <w:sz w:val="28"/>
          <w:szCs w:val="28"/>
        </w:rPr>
      </w:pPr>
      <w:r w:rsidRPr="00691F78">
        <w:rPr>
          <w:b/>
          <w:i/>
          <w:color w:val="7F7F7F" w:themeColor="text1" w:themeTint="80"/>
          <w:sz w:val="28"/>
          <w:szCs w:val="28"/>
        </w:rPr>
        <w:t>RAPPORT D’ACTIVIT</w:t>
      </w:r>
      <w:r w:rsidRPr="00691F78">
        <w:rPr>
          <w:rFonts w:cs="Calibri"/>
          <w:b/>
          <w:i/>
          <w:color w:val="7F7F7F" w:themeColor="text1" w:themeTint="80"/>
          <w:sz w:val="28"/>
          <w:szCs w:val="28"/>
        </w:rPr>
        <w:t>É</w:t>
      </w:r>
      <w:r w:rsidRPr="00691F78">
        <w:rPr>
          <w:b/>
          <w:i/>
          <w:color w:val="7F7F7F" w:themeColor="text1" w:themeTint="80"/>
          <w:sz w:val="28"/>
          <w:szCs w:val="28"/>
        </w:rPr>
        <w:t xml:space="preserve"> 2012-2013</w:t>
      </w:r>
    </w:p>
    <w:p w:rsidR="00691F78" w:rsidRDefault="00691F78" w:rsidP="005B78AB">
      <w:pPr>
        <w:spacing w:before="120"/>
        <w:ind w:firstLine="426"/>
        <w:jc w:val="both"/>
      </w:pPr>
    </w:p>
    <w:p w:rsidR="00691F78" w:rsidRDefault="00691F78" w:rsidP="005B78AB">
      <w:pPr>
        <w:spacing w:before="120"/>
        <w:ind w:firstLine="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E8C3" wp14:editId="49CD6FA9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5753100" cy="47625"/>
                <wp:effectExtent l="19050" t="1905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47625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3pt" to="454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" strokecolor="#4579b8 [3044]" strokeweight="2.75pt"/>
            </w:pict>
          </mc:Fallback>
        </mc:AlternateContent>
      </w:r>
    </w:p>
    <w:p w:rsidR="00691F78" w:rsidRDefault="00691F78" w:rsidP="005B78AB">
      <w:pPr>
        <w:spacing w:before="120"/>
        <w:ind w:firstLine="426"/>
        <w:jc w:val="both"/>
      </w:pPr>
    </w:p>
    <w:p w:rsidR="002C2B64" w:rsidRDefault="002C2B64" w:rsidP="002C1DA6">
      <w:pPr>
        <w:spacing w:before="120"/>
        <w:jc w:val="both"/>
      </w:pPr>
    </w:p>
    <w:p w:rsidR="0068323B" w:rsidRDefault="0068323B" w:rsidP="005B78AB">
      <w:pPr>
        <w:spacing w:before="120"/>
        <w:ind w:firstLine="426"/>
        <w:jc w:val="both"/>
      </w:pPr>
      <w:r>
        <w:t>Comme pou</w:t>
      </w:r>
      <w:r w:rsidR="00AB6A37">
        <w:t>r toutes les composantes de la F</w:t>
      </w:r>
      <w:r>
        <w:t xml:space="preserve">aculté de </w:t>
      </w:r>
      <w:r w:rsidR="00AB6A37">
        <w:rPr>
          <w:i/>
        </w:rPr>
        <w:t>Sciences S</w:t>
      </w:r>
      <w:r w:rsidRPr="0068323B">
        <w:rPr>
          <w:i/>
        </w:rPr>
        <w:t>ociales</w:t>
      </w:r>
      <w:r>
        <w:t>, l’année 2012-2013 est le terme du plan quadriennal 2009-2012. Hormis quelques changements mineurs, cette année universitaire se situe dans le prolongement des années précédentes</w:t>
      </w:r>
    </w:p>
    <w:p w:rsidR="0068323B" w:rsidRDefault="0068323B" w:rsidP="005B78AB">
      <w:pPr>
        <w:spacing w:before="120"/>
        <w:ind w:firstLine="426"/>
        <w:jc w:val="both"/>
      </w:pPr>
    </w:p>
    <w:p w:rsidR="00F1231C" w:rsidRDefault="00F1231C" w:rsidP="002C1DA6">
      <w:pPr>
        <w:spacing w:before="120"/>
        <w:jc w:val="both"/>
      </w:pPr>
    </w:p>
    <w:p w:rsidR="00691F78" w:rsidRPr="00B92390" w:rsidRDefault="00691F78" w:rsidP="002C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7938"/>
        <w:jc w:val="both"/>
        <w:rPr>
          <w:b/>
          <w:sz w:val="28"/>
          <w:szCs w:val="28"/>
        </w:rPr>
      </w:pPr>
      <w:r w:rsidRPr="00B92390">
        <w:rPr>
          <w:b/>
          <w:sz w:val="28"/>
          <w:szCs w:val="28"/>
        </w:rPr>
        <w:t>BILAN</w:t>
      </w:r>
    </w:p>
    <w:p w:rsidR="00F1231C" w:rsidRDefault="00F1231C" w:rsidP="005B78AB">
      <w:pPr>
        <w:spacing w:before="120"/>
        <w:ind w:firstLine="426"/>
        <w:jc w:val="both"/>
        <w:rPr>
          <w:rFonts w:ascii="Arial" w:hAnsi="Arial" w:cs="Arial"/>
        </w:rPr>
      </w:pPr>
    </w:p>
    <w:p w:rsidR="0090546A" w:rsidRDefault="00F1231C" w:rsidP="005B78AB">
      <w:pPr>
        <w:spacing w:before="120"/>
        <w:ind w:firstLine="426"/>
        <w:jc w:val="both"/>
      </w:pPr>
      <w:r>
        <w:rPr>
          <w:rFonts w:ascii="Arial" w:hAnsi="Arial" w:cs="Arial"/>
        </w:rPr>
        <w:t>►</w:t>
      </w:r>
      <w:r>
        <w:t xml:space="preserve"> </w:t>
      </w:r>
      <w:r w:rsidR="00F27CF0" w:rsidRPr="00F1231C">
        <w:rPr>
          <w:b/>
        </w:rPr>
        <w:t>Nombre d’étudiants :</w:t>
      </w:r>
    </w:p>
    <w:p w:rsidR="00740D45" w:rsidRDefault="00740D45" w:rsidP="005B78AB">
      <w:pPr>
        <w:spacing w:before="120"/>
        <w:ind w:firstLine="426"/>
        <w:jc w:val="both"/>
      </w:pPr>
    </w:p>
    <w:tbl>
      <w:tblPr>
        <w:tblW w:w="9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1333"/>
        <w:gridCol w:w="1361"/>
        <w:gridCol w:w="1275"/>
        <w:gridCol w:w="1332"/>
      </w:tblGrid>
      <w:tr w:rsidR="00A252D0" w:rsidRPr="00FC7FDB" w:rsidTr="00FC7FD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2007-2008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2008-2009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2009-2010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2010-2011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2011-2012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2012-2013</w:t>
            </w:r>
          </w:p>
        </w:tc>
      </w:tr>
      <w:tr w:rsidR="00A252D0" w:rsidRPr="00FC7FDB" w:rsidTr="00FC7FD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Licence (L3)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22</w:t>
            </w:r>
          </w:p>
        </w:tc>
      </w:tr>
      <w:tr w:rsidR="00A252D0" w:rsidRPr="00FC7FDB" w:rsidTr="00FC7FD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Master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28</w:t>
            </w:r>
          </w:p>
        </w:tc>
      </w:tr>
      <w:tr w:rsidR="00A252D0" w:rsidRPr="00FC7FDB" w:rsidTr="00FC7FD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Master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color w:val="000000"/>
                <w:lang w:eastAsia="fr-FR"/>
              </w:rPr>
              <w:t>19</w:t>
            </w:r>
          </w:p>
        </w:tc>
      </w:tr>
      <w:tr w:rsidR="009A006E" w:rsidRPr="00FC7FDB" w:rsidTr="009A006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ENSEMBLE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C7FDB" w:rsidRPr="00FC7FDB" w:rsidRDefault="00FC7FDB" w:rsidP="002C1DA6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FC7FDB">
              <w:rPr>
                <w:rFonts w:eastAsia="Times New Roman" w:cs="Calibri"/>
                <w:b/>
                <w:bCs/>
                <w:color w:val="000000"/>
                <w:lang w:eastAsia="fr-FR"/>
              </w:rPr>
              <w:t>69</w:t>
            </w:r>
          </w:p>
        </w:tc>
      </w:tr>
    </w:tbl>
    <w:p w:rsidR="00FC7FDB" w:rsidRPr="00FC7FDB" w:rsidRDefault="00FC7FDB" w:rsidP="005B78AB">
      <w:pPr>
        <w:spacing w:before="120"/>
        <w:ind w:firstLine="426"/>
        <w:jc w:val="both"/>
        <w:rPr>
          <w:b/>
        </w:rPr>
      </w:pPr>
      <w:r w:rsidRPr="00FC7FDB">
        <w:rPr>
          <w:b/>
        </w:rPr>
        <w:t>Effectifs des inscriptions administratives</w:t>
      </w:r>
    </w:p>
    <w:p w:rsidR="00FC7FDB" w:rsidRDefault="00FC7FDB" w:rsidP="005B78AB">
      <w:pPr>
        <w:spacing w:before="120"/>
        <w:ind w:firstLine="426"/>
        <w:jc w:val="both"/>
      </w:pPr>
    </w:p>
    <w:p w:rsidR="00FC7FDB" w:rsidRDefault="00BA462D" w:rsidP="005B78AB">
      <w:pPr>
        <w:spacing w:before="120"/>
        <w:ind w:firstLine="426"/>
        <w:jc w:val="both"/>
      </w:pPr>
      <w:r>
        <w:t xml:space="preserve">Cette année, l’institut de démographie a retrouvé les effectifs observés habituellement. 2012-2013 a été précédée de trois années au cours desquelles les effectifs ont été plus modestes. Cette situation est liée à la faiblesse des effectifs de licence l’année 2009-2010, que l’on retrouve ensuite lorsque cette promotion franchit les étapes du cursus en master. Une fois cette vague passée, nous </w:t>
      </w:r>
      <w:r w:rsidR="00D960CA">
        <w:t>avons retrouvé les</w:t>
      </w:r>
      <w:r>
        <w:t xml:space="preserve"> effectifs habituels.</w:t>
      </w:r>
    </w:p>
    <w:p w:rsidR="009A006E" w:rsidRDefault="009A006E" w:rsidP="005B78AB">
      <w:pPr>
        <w:spacing w:before="120"/>
        <w:ind w:firstLine="426"/>
        <w:jc w:val="both"/>
      </w:pPr>
      <w:r>
        <w:t>Le suivi des étudiants d’une année à la suivante, fournit des éléments relativement intéressants :</w:t>
      </w:r>
    </w:p>
    <w:p w:rsidR="009A006E" w:rsidRDefault="009A006E" w:rsidP="005B78AB">
      <w:pPr>
        <w:spacing w:before="120"/>
        <w:ind w:firstLine="426"/>
        <w:jc w:val="both"/>
      </w:pPr>
      <w:r>
        <w:t xml:space="preserve">- La </w:t>
      </w:r>
      <w:r w:rsidR="00112336">
        <w:t>très grande majorité</w:t>
      </w:r>
      <w:r>
        <w:t xml:space="preserve"> des étudiants de licence</w:t>
      </w:r>
      <w:r w:rsidR="00112336">
        <w:t xml:space="preserve"> </w:t>
      </w:r>
      <w:r w:rsidR="00AB6A37">
        <w:t xml:space="preserve">est issue de la Faculté de </w:t>
      </w:r>
      <w:r w:rsidR="00AB6A37" w:rsidRPr="00AB6A37">
        <w:t>Sciences S</w:t>
      </w:r>
      <w:r w:rsidR="00112336" w:rsidRPr="00AB6A37">
        <w:t>ociales</w:t>
      </w:r>
      <w:r w:rsidR="00112336">
        <w:t xml:space="preserve"> (avec la réforme LMD, les réorientations se font désormais en master). Ils ont suivi les quatre premiers semestres de la licence, mais n’ont pas obligatoirement choisi l’option </w:t>
      </w:r>
      <w:r w:rsidR="00112336" w:rsidRPr="002C1DA6">
        <w:rPr>
          <w:i/>
        </w:rPr>
        <w:t>démographie</w:t>
      </w:r>
      <w:r w:rsidR="00934F64">
        <w:t xml:space="preserve"> dans l’UE5 du semestre 4 (1/4</w:t>
      </w:r>
      <w:r w:rsidR="00112336">
        <w:t xml:space="preserve"> environ</w:t>
      </w:r>
      <w:r w:rsidR="00DF0D8C">
        <w:t xml:space="preserve"> ne </w:t>
      </w:r>
      <w:r w:rsidR="00934F64">
        <w:t>l’a</w:t>
      </w:r>
      <w:r w:rsidR="00DF0D8C">
        <w:t xml:space="preserve"> pas suivie</w:t>
      </w:r>
      <w:r w:rsidR="00112336">
        <w:t>).</w:t>
      </w:r>
    </w:p>
    <w:p w:rsidR="00112336" w:rsidRDefault="00112336" w:rsidP="005B78AB">
      <w:pPr>
        <w:spacing w:before="120"/>
        <w:ind w:firstLine="426"/>
        <w:jc w:val="both"/>
      </w:pPr>
      <w:r>
        <w:t xml:space="preserve">- Parmi les étudiants en licence, un peu plus de la moitié </w:t>
      </w:r>
      <w:r w:rsidR="00D960CA">
        <w:t xml:space="preserve">(52 % en moyenne sur 7 années d’observation) </w:t>
      </w:r>
      <w:r w:rsidR="00B92390">
        <w:t>poursuivent</w:t>
      </w:r>
      <w:r>
        <w:t xml:space="preserve"> en master de démographie</w:t>
      </w:r>
      <w:r w:rsidR="00D960CA">
        <w:t>. Le</w:t>
      </w:r>
      <w:r w:rsidR="008C2568">
        <w:t>s autres</w:t>
      </w:r>
      <w:r w:rsidR="00D960CA">
        <w:t xml:space="preserve"> redoublent, abandonnent ou ont réussi un concours d’entrée à des formations dans le domaine sanitaire ou social.</w:t>
      </w:r>
    </w:p>
    <w:p w:rsidR="00D960CA" w:rsidRDefault="00D960CA" w:rsidP="005B78AB">
      <w:pPr>
        <w:spacing w:before="120"/>
        <w:ind w:firstLine="426"/>
        <w:jc w:val="both"/>
      </w:pPr>
      <w:r>
        <w:t xml:space="preserve">- Le taux de passage </w:t>
      </w:r>
      <w:r w:rsidR="00DF0D8C">
        <w:t xml:space="preserve">au niveau supérieur </w:t>
      </w:r>
      <w:r>
        <w:t>est un peu plus élevé pour les étudiants en 1</w:t>
      </w:r>
      <w:r w:rsidRPr="00D960CA">
        <w:rPr>
          <w:vertAlign w:val="superscript"/>
        </w:rPr>
        <w:t>ère</w:t>
      </w:r>
      <w:r>
        <w:t xml:space="preserve"> année de master</w:t>
      </w:r>
      <w:r w:rsidR="00DF0D8C">
        <w:t>. Parmi eux, les 2/3 environ poursuivent en 2</w:t>
      </w:r>
      <w:r w:rsidR="00DF0D8C" w:rsidRPr="00DF0D8C">
        <w:rPr>
          <w:vertAlign w:val="superscript"/>
        </w:rPr>
        <w:t>e</w:t>
      </w:r>
      <w:r w:rsidR="00DF0D8C">
        <w:t xml:space="preserve"> année du master.</w:t>
      </w:r>
    </w:p>
    <w:p w:rsidR="005B78AB" w:rsidRDefault="00DF0D8C" w:rsidP="005B78AB">
      <w:pPr>
        <w:spacing w:before="120"/>
        <w:ind w:firstLine="426"/>
        <w:jc w:val="both"/>
      </w:pPr>
      <w:r>
        <w:lastRenderedPageBreak/>
        <w:t>- Le nombre de candidatures en première année de master est en augmentation constante</w:t>
      </w:r>
      <w:r w:rsidR="00D814E4">
        <w:t>. Nous av</w:t>
      </w:r>
      <w:r w:rsidR="008C2568">
        <w:t>i</w:t>
      </w:r>
      <w:r w:rsidR="00D814E4">
        <w:t xml:space="preserve">ons enregistré </w:t>
      </w:r>
      <w:r w:rsidR="008C2568">
        <w:t>plus</w:t>
      </w:r>
      <w:r>
        <w:t xml:space="preserve"> </w:t>
      </w:r>
      <w:r w:rsidRPr="008C2568">
        <w:t>une centaine de demandes pour</w:t>
      </w:r>
      <w:r>
        <w:t xml:space="preserve"> l’année 2012-2013</w:t>
      </w:r>
      <w:r w:rsidR="00D814E4">
        <w:t xml:space="preserve">. </w:t>
      </w:r>
      <w:r w:rsidR="008C2568">
        <w:t xml:space="preserve">Nous enregistrons à ce jour 145 pré-inscriptions. </w:t>
      </w:r>
      <w:r w:rsidR="00D814E4">
        <w:t xml:space="preserve">Au cours des sept dernières années, un étudiant sur deux en moyenne inscrit en master </w:t>
      </w:r>
      <w:r w:rsidR="00B92390">
        <w:t>1</w:t>
      </w:r>
      <w:r w:rsidR="00B92390" w:rsidRPr="00B92390">
        <w:rPr>
          <w:vertAlign w:val="superscript"/>
        </w:rPr>
        <w:t>ère</w:t>
      </w:r>
      <w:r w:rsidR="00B92390">
        <w:t xml:space="preserve"> année</w:t>
      </w:r>
      <w:r w:rsidR="00723681">
        <w:t>,</w:t>
      </w:r>
      <w:r w:rsidR="00B92390">
        <w:t xml:space="preserve"> </w:t>
      </w:r>
      <w:r w:rsidR="00D814E4">
        <w:t>n’</w:t>
      </w:r>
      <w:r w:rsidR="005B78AB">
        <w:t xml:space="preserve">est pas </w:t>
      </w:r>
      <w:r w:rsidR="00934F64">
        <w:t>titulaire</w:t>
      </w:r>
      <w:r w:rsidR="005B78AB">
        <w:t xml:space="preserve"> de la licence de démog</w:t>
      </w:r>
      <w:r w:rsidR="002C1DA6">
        <w:t>r</w:t>
      </w:r>
      <w:r w:rsidR="005B78AB">
        <w:t xml:space="preserve">aphie. La plupart d’entre eux ont suivi un cursus en </w:t>
      </w:r>
      <w:r w:rsidR="00D814E4">
        <w:t>économie, géographie, statistique,</w:t>
      </w:r>
      <w:r w:rsidR="008C2568">
        <w:t xml:space="preserve"> sociologie</w:t>
      </w:r>
      <w:r w:rsidR="00AB6A37">
        <w:t>,</w:t>
      </w:r>
      <w:r w:rsidR="00D814E4">
        <w:t xml:space="preserve"> </w:t>
      </w:r>
      <w:r w:rsidR="008C2568">
        <w:t>etc.).</w:t>
      </w:r>
    </w:p>
    <w:p w:rsidR="00D814E4" w:rsidRDefault="00D814E4" w:rsidP="005B78AB">
      <w:pPr>
        <w:spacing w:before="120"/>
        <w:ind w:firstLine="426"/>
        <w:jc w:val="both"/>
      </w:pPr>
      <w:r>
        <w:t xml:space="preserve">- Le suivi des étudiants après l’obtention du master fait état d’une situation satisfaisante : le taux d’insertion professionnelle </w:t>
      </w:r>
      <w:r w:rsidR="00B92390">
        <w:t>(</w:t>
      </w:r>
      <w:r>
        <w:t>emploi en relation avec la démographie</w:t>
      </w:r>
      <w:r w:rsidR="00B92390">
        <w:t>)</w:t>
      </w:r>
      <w:r>
        <w:t xml:space="preserve"> </w:t>
      </w:r>
      <w:r w:rsidR="00B92390">
        <w:t xml:space="preserve">des diplômés de l’année 2011-2012 est conforme aux niveaux observés les années précédentes : </w:t>
      </w:r>
      <w:r w:rsidR="008C2568">
        <w:t>80 %.</w:t>
      </w:r>
    </w:p>
    <w:p w:rsidR="00B92390" w:rsidRDefault="00B92390" w:rsidP="005B78AB">
      <w:pPr>
        <w:spacing w:before="120"/>
        <w:ind w:firstLine="426"/>
        <w:jc w:val="both"/>
      </w:pPr>
    </w:p>
    <w:p w:rsidR="00B92390" w:rsidRDefault="00B92390" w:rsidP="005B78AB">
      <w:pPr>
        <w:spacing w:before="120"/>
        <w:ind w:firstLine="426"/>
        <w:jc w:val="both"/>
      </w:pPr>
    </w:p>
    <w:p w:rsidR="00B92390" w:rsidRPr="00A252D0" w:rsidRDefault="00F1231C" w:rsidP="005B78AB">
      <w:pPr>
        <w:spacing w:before="120"/>
        <w:ind w:firstLine="426"/>
        <w:jc w:val="both"/>
        <w:rPr>
          <w:rFonts w:asciiTheme="minorHAnsi" w:hAnsiTheme="minorHAnsi" w:cstheme="minorHAnsi"/>
          <w:b/>
        </w:rPr>
      </w:pPr>
      <w:r w:rsidRPr="00A252D0">
        <w:rPr>
          <w:rFonts w:ascii="Arial" w:hAnsi="Arial" w:cs="Arial"/>
          <w:b/>
        </w:rPr>
        <w:t>►</w:t>
      </w:r>
      <w:r w:rsidRPr="00A252D0">
        <w:rPr>
          <w:rFonts w:asciiTheme="minorHAnsi" w:hAnsiTheme="minorHAnsi" w:cstheme="minorHAnsi"/>
          <w:b/>
        </w:rPr>
        <w:t xml:space="preserve"> </w:t>
      </w:r>
      <w:r w:rsidR="00A252D0">
        <w:rPr>
          <w:rFonts w:asciiTheme="minorHAnsi" w:hAnsiTheme="minorHAnsi" w:cstheme="minorHAnsi"/>
          <w:b/>
        </w:rPr>
        <w:t>É</w:t>
      </w:r>
      <w:r w:rsidRPr="00A252D0">
        <w:rPr>
          <w:rFonts w:asciiTheme="minorHAnsi" w:hAnsiTheme="minorHAnsi" w:cstheme="minorHAnsi"/>
          <w:b/>
        </w:rPr>
        <w:t>quipe pédagogique</w:t>
      </w:r>
    </w:p>
    <w:p w:rsidR="00F1231C" w:rsidRDefault="00F1231C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 w:rsidRPr="00A252D0">
        <w:rPr>
          <w:rFonts w:asciiTheme="minorHAnsi" w:hAnsiTheme="minorHAnsi" w:cstheme="minorHAnsi"/>
        </w:rPr>
        <w:t>Le corps enseignant</w:t>
      </w:r>
      <w:r w:rsidR="00A252D0" w:rsidRPr="00A252D0">
        <w:rPr>
          <w:rFonts w:asciiTheme="minorHAnsi" w:hAnsiTheme="minorHAnsi" w:cstheme="minorHAnsi"/>
        </w:rPr>
        <w:t xml:space="preserve"> de l’institut de démographie est constitué d’un noyau permanent de six enseignants-chercheurs</w:t>
      </w:r>
      <w:r w:rsidR="00A252D0">
        <w:rPr>
          <w:rFonts w:asciiTheme="minorHAnsi" w:hAnsiTheme="minorHAnsi" w:cstheme="minorHAnsi"/>
        </w:rPr>
        <w:t xml:space="preserve">. Quelques changements en 2012-2013 : </w:t>
      </w:r>
    </w:p>
    <w:p w:rsidR="00A252D0" w:rsidRDefault="00A252D0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Brigitte Fichet a pris sa retraite le 1</w:t>
      </w:r>
      <w:r w:rsidRPr="00A252D0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février</w:t>
      </w:r>
      <w:r w:rsidR="005B78AB">
        <w:rPr>
          <w:rFonts w:asciiTheme="minorHAnsi" w:hAnsiTheme="minorHAnsi" w:cstheme="minorHAnsi"/>
        </w:rPr>
        <w:t>.</w:t>
      </w:r>
    </w:p>
    <w:p w:rsidR="00A252D0" w:rsidRDefault="00A252D0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Philippe </w:t>
      </w:r>
      <w:proofErr w:type="spellStart"/>
      <w:r>
        <w:rPr>
          <w:rFonts w:asciiTheme="minorHAnsi" w:hAnsiTheme="minorHAnsi" w:cstheme="minorHAnsi"/>
        </w:rPr>
        <w:t>Cordazzo</w:t>
      </w:r>
      <w:proofErr w:type="spellEnd"/>
      <w:r>
        <w:rPr>
          <w:rFonts w:asciiTheme="minorHAnsi" w:hAnsiTheme="minorHAnsi" w:cstheme="minorHAnsi"/>
        </w:rPr>
        <w:t xml:space="preserve"> a </w:t>
      </w:r>
      <w:r w:rsidR="008C2568">
        <w:rPr>
          <w:rFonts w:asciiTheme="minorHAnsi" w:hAnsiTheme="minorHAnsi" w:cstheme="minorHAnsi"/>
        </w:rPr>
        <w:t xml:space="preserve">bénéficié d’une délégation de recherche à l’INED dans le cadre du </w:t>
      </w:r>
      <w:proofErr w:type="spellStart"/>
      <w:r w:rsidR="008C2568">
        <w:rPr>
          <w:rFonts w:asciiTheme="minorHAnsi" w:hAnsiTheme="minorHAnsi" w:cstheme="minorHAnsi"/>
        </w:rPr>
        <w:t>labex</w:t>
      </w:r>
      <w:proofErr w:type="spellEnd"/>
      <w:r w:rsidR="008C2568">
        <w:rPr>
          <w:rFonts w:asciiTheme="minorHAnsi" w:hAnsiTheme="minorHAnsi" w:cstheme="minorHAnsi"/>
        </w:rPr>
        <w:t xml:space="preserve"> </w:t>
      </w:r>
      <w:proofErr w:type="spellStart"/>
      <w:r w:rsidR="00282538">
        <w:rPr>
          <w:rFonts w:asciiTheme="minorHAnsi" w:hAnsiTheme="minorHAnsi" w:cstheme="minorHAnsi"/>
        </w:rPr>
        <w:t>iPOPs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C2568">
        <w:rPr>
          <w:rFonts w:asciiTheme="minorHAnsi" w:hAnsiTheme="minorHAnsi" w:cstheme="minorHAnsi"/>
        </w:rPr>
        <w:t xml:space="preserve">L’université a </w:t>
      </w:r>
      <w:r w:rsidR="005B78AB" w:rsidRPr="008C2568">
        <w:rPr>
          <w:rFonts w:asciiTheme="minorHAnsi" w:hAnsiTheme="minorHAnsi" w:cstheme="minorHAnsi"/>
        </w:rPr>
        <w:t>été indemnisée</w:t>
      </w:r>
      <w:r w:rsidRPr="008C2568">
        <w:rPr>
          <w:rFonts w:asciiTheme="minorHAnsi" w:hAnsiTheme="minorHAnsi" w:cstheme="minorHAnsi"/>
        </w:rPr>
        <w:t xml:space="preserve"> </w:t>
      </w:r>
      <w:r w:rsidR="005B78AB" w:rsidRPr="008C2568">
        <w:rPr>
          <w:rFonts w:asciiTheme="minorHAnsi" w:hAnsiTheme="minorHAnsi" w:cstheme="minorHAnsi"/>
        </w:rPr>
        <w:t>des heures complémentaires correspondant à la charge d’enseignement non effectuée.</w:t>
      </w:r>
    </w:p>
    <w:p w:rsidR="005B78AB" w:rsidRDefault="005B78AB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Didier Breton a été nommé PR à compter du 3 juin</w:t>
      </w:r>
      <w:r w:rsidR="008C2568">
        <w:rPr>
          <w:rFonts w:asciiTheme="minorHAnsi" w:hAnsiTheme="minorHAnsi" w:cstheme="minorHAnsi"/>
        </w:rPr>
        <w:t xml:space="preserve"> (</w:t>
      </w:r>
      <w:r w:rsidR="003F05A0">
        <w:rPr>
          <w:rFonts w:asciiTheme="minorHAnsi" w:hAnsiTheme="minorHAnsi" w:cstheme="minorHAnsi"/>
        </w:rPr>
        <w:t>affectation depuis le 20 juin</w:t>
      </w:r>
      <w:r w:rsidR="008C256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5B78AB" w:rsidRDefault="0029571F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L’équipe pédagogique est ensuite renforcée par l’intervention </w:t>
      </w:r>
      <w:r w:rsidR="00220C85">
        <w:rPr>
          <w:rFonts w:asciiTheme="minorHAnsi" w:hAnsiTheme="minorHAnsi" w:cstheme="minorHAnsi"/>
        </w:rPr>
        <w:t xml:space="preserve">d’enseignants-chercheurs de la faculté ou </w:t>
      </w:r>
      <w:r>
        <w:rPr>
          <w:rFonts w:asciiTheme="minorHAnsi" w:hAnsiTheme="minorHAnsi" w:cstheme="minorHAnsi"/>
        </w:rPr>
        <w:t>de spécialistes d’un domaine proche ou associé à la démographie.</w:t>
      </w:r>
      <w:r w:rsidR="00220C85">
        <w:rPr>
          <w:rFonts w:asciiTheme="minorHAnsi" w:hAnsiTheme="minorHAnsi" w:cstheme="minorHAnsi"/>
        </w:rPr>
        <w:t xml:space="preserve"> Quelques changements en 2012-2013 :</w:t>
      </w:r>
    </w:p>
    <w:p w:rsidR="00220C85" w:rsidRDefault="00220C85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Remplacement de Catherine </w:t>
      </w:r>
      <w:proofErr w:type="spellStart"/>
      <w:r>
        <w:rPr>
          <w:rFonts w:asciiTheme="minorHAnsi" w:hAnsiTheme="minorHAnsi" w:cstheme="minorHAnsi"/>
        </w:rPr>
        <w:t>Delcroix</w:t>
      </w:r>
      <w:proofErr w:type="spellEnd"/>
      <w:r>
        <w:rPr>
          <w:rFonts w:asciiTheme="minorHAnsi" w:hAnsiTheme="minorHAnsi" w:cstheme="minorHAnsi"/>
        </w:rPr>
        <w:t xml:space="preserve"> par Sylvie </w:t>
      </w:r>
      <w:proofErr w:type="spellStart"/>
      <w:r>
        <w:rPr>
          <w:rFonts w:asciiTheme="minorHAnsi" w:hAnsiTheme="minorHAnsi" w:cstheme="minorHAnsi"/>
        </w:rPr>
        <w:t>Monchatre</w:t>
      </w:r>
      <w:proofErr w:type="spellEnd"/>
      <w:r>
        <w:rPr>
          <w:rFonts w:asciiTheme="minorHAnsi" w:hAnsiTheme="minorHAnsi" w:cstheme="minorHAnsi"/>
        </w:rPr>
        <w:t xml:space="preserve">, de Jacqueline </w:t>
      </w:r>
      <w:proofErr w:type="spellStart"/>
      <w:r>
        <w:rPr>
          <w:rFonts w:asciiTheme="minorHAnsi" w:hAnsiTheme="minorHAnsi" w:cstheme="minorHAnsi"/>
        </w:rPr>
        <w:t>Igersheim</w:t>
      </w:r>
      <w:proofErr w:type="spellEnd"/>
      <w:r>
        <w:rPr>
          <w:rFonts w:asciiTheme="minorHAnsi" w:hAnsiTheme="minorHAnsi" w:cstheme="minorHAnsi"/>
        </w:rPr>
        <w:t xml:space="preserve"> par Alice </w:t>
      </w:r>
      <w:proofErr w:type="spellStart"/>
      <w:r>
        <w:rPr>
          <w:rFonts w:asciiTheme="minorHAnsi" w:hAnsiTheme="minorHAnsi" w:cstheme="minorHAnsi"/>
        </w:rPr>
        <w:t>Debauche</w:t>
      </w:r>
      <w:proofErr w:type="spellEnd"/>
      <w:r>
        <w:rPr>
          <w:rFonts w:asciiTheme="minorHAnsi" w:hAnsiTheme="minorHAnsi" w:cstheme="minorHAnsi"/>
        </w:rPr>
        <w:t xml:space="preserve"> et de François </w:t>
      </w:r>
      <w:proofErr w:type="spellStart"/>
      <w:r>
        <w:rPr>
          <w:rFonts w:asciiTheme="minorHAnsi" w:hAnsiTheme="minorHAnsi" w:cstheme="minorHAnsi"/>
        </w:rPr>
        <w:t>Steudler</w:t>
      </w:r>
      <w:proofErr w:type="spellEnd"/>
      <w:r>
        <w:rPr>
          <w:rFonts w:asciiTheme="minorHAnsi" w:hAnsiTheme="minorHAnsi" w:cstheme="minorHAnsi"/>
        </w:rPr>
        <w:t xml:space="preserve"> par Frédéric Imbert (directeur de l’ORSAL).</w:t>
      </w:r>
    </w:p>
    <w:p w:rsidR="00220C85" w:rsidRDefault="00220C85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Parmi les intervenants extérieurs, Simon </w:t>
      </w:r>
      <w:proofErr w:type="spellStart"/>
      <w:r>
        <w:rPr>
          <w:rFonts w:asciiTheme="minorHAnsi" w:hAnsiTheme="minorHAnsi" w:cstheme="minorHAnsi"/>
        </w:rPr>
        <w:t>Leyendecker</w:t>
      </w:r>
      <w:proofErr w:type="spellEnd"/>
      <w:r>
        <w:rPr>
          <w:rFonts w:asciiTheme="minorHAnsi" w:hAnsiTheme="minorHAnsi" w:cstheme="minorHAnsi"/>
        </w:rPr>
        <w:t xml:space="preserve"> (chargé d’études </w:t>
      </w:r>
      <w:r w:rsidR="00934F64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bureau d’études Compa</w:t>
      </w:r>
      <w:r w:rsidR="00B65C28">
        <w:rPr>
          <w:rFonts w:asciiTheme="minorHAnsi" w:hAnsiTheme="minorHAnsi" w:cstheme="minorHAnsi"/>
        </w:rPr>
        <w:t>s-</w:t>
      </w:r>
      <w:proofErr w:type="spellStart"/>
      <w:r w:rsidR="00B65C28">
        <w:rPr>
          <w:rFonts w:asciiTheme="minorHAnsi" w:hAnsiTheme="minorHAnsi" w:cstheme="minorHAnsi"/>
        </w:rPr>
        <w:t>Tis</w:t>
      </w:r>
      <w:proofErr w:type="spellEnd"/>
      <w:r w:rsidR="00B65C28">
        <w:rPr>
          <w:rFonts w:asciiTheme="minorHAnsi" w:hAnsiTheme="minorHAnsi" w:cstheme="minorHAnsi"/>
        </w:rPr>
        <w:t xml:space="preserve">) a remplacé Marc </w:t>
      </w:r>
      <w:proofErr w:type="spellStart"/>
      <w:r w:rsidR="00B65C28">
        <w:rPr>
          <w:rFonts w:asciiTheme="minorHAnsi" w:hAnsiTheme="minorHAnsi" w:cstheme="minorHAnsi"/>
        </w:rPr>
        <w:t>Schalck</w:t>
      </w:r>
      <w:proofErr w:type="spellEnd"/>
      <w:r w:rsidR="00B65C28">
        <w:rPr>
          <w:rFonts w:asciiTheme="minorHAnsi" w:hAnsiTheme="minorHAnsi" w:cstheme="minorHAnsi"/>
        </w:rPr>
        <w:t xml:space="preserve">, </w:t>
      </w:r>
      <w:r w:rsidR="006D7D6D">
        <w:rPr>
          <w:rFonts w:asciiTheme="minorHAnsi" w:hAnsiTheme="minorHAnsi" w:cstheme="minorHAnsi"/>
        </w:rPr>
        <w:t xml:space="preserve">Béatrice </w:t>
      </w:r>
      <w:proofErr w:type="spellStart"/>
      <w:r w:rsidR="006D7D6D">
        <w:rPr>
          <w:rFonts w:asciiTheme="minorHAnsi" w:hAnsiTheme="minorHAnsi" w:cstheme="minorHAnsi"/>
        </w:rPr>
        <w:t>Neiter</w:t>
      </w:r>
      <w:proofErr w:type="spellEnd"/>
      <w:r w:rsidR="006D7D6D">
        <w:rPr>
          <w:rFonts w:asciiTheme="minorHAnsi" w:hAnsiTheme="minorHAnsi" w:cstheme="minorHAnsi"/>
        </w:rPr>
        <w:t xml:space="preserve"> (</w:t>
      </w:r>
      <w:r w:rsidR="008C2568">
        <w:rPr>
          <w:rFonts w:asciiTheme="minorHAnsi" w:hAnsiTheme="minorHAnsi" w:cstheme="minorHAnsi"/>
        </w:rPr>
        <w:t>chargée d’études statistiques</w:t>
      </w:r>
      <w:r w:rsidR="006D7D6D">
        <w:rPr>
          <w:rFonts w:asciiTheme="minorHAnsi" w:hAnsiTheme="minorHAnsi" w:cstheme="minorHAnsi"/>
        </w:rPr>
        <w:t xml:space="preserve"> à l’INSEE Alsace) Christiane </w:t>
      </w:r>
      <w:proofErr w:type="spellStart"/>
      <w:r w:rsidR="006D7D6D">
        <w:rPr>
          <w:rFonts w:asciiTheme="minorHAnsi" w:hAnsiTheme="minorHAnsi" w:cstheme="minorHAnsi"/>
        </w:rPr>
        <w:t>Khun</w:t>
      </w:r>
      <w:proofErr w:type="spellEnd"/>
      <w:r w:rsidR="00B65C28">
        <w:rPr>
          <w:rFonts w:asciiTheme="minorHAnsi" w:hAnsiTheme="minorHAnsi" w:cstheme="minorHAnsi"/>
        </w:rPr>
        <w:t xml:space="preserve"> et Khalid </w:t>
      </w:r>
      <w:proofErr w:type="spellStart"/>
      <w:r w:rsidR="00B65C28">
        <w:rPr>
          <w:rFonts w:asciiTheme="minorHAnsi" w:hAnsiTheme="minorHAnsi" w:cstheme="minorHAnsi"/>
        </w:rPr>
        <w:t>Eljim</w:t>
      </w:r>
      <w:proofErr w:type="spellEnd"/>
      <w:r w:rsidR="00B65C28">
        <w:rPr>
          <w:rFonts w:asciiTheme="minorHAnsi" w:hAnsiTheme="minorHAnsi" w:cstheme="minorHAnsi"/>
        </w:rPr>
        <w:t xml:space="preserve"> (c</w:t>
      </w:r>
      <w:r w:rsidR="00AB6A37">
        <w:rPr>
          <w:rFonts w:asciiTheme="minorHAnsi" w:hAnsiTheme="minorHAnsi" w:cstheme="minorHAnsi"/>
        </w:rPr>
        <w:t>hargé de recherche à l’université de Bordeaux</w:t>
      </w:r>
      <w:r w:rsidR="00B65C28">
        <w:rPr>
          <w:rFonts w:asciiTheme="minorHAnsi" w:hAnsiTheme="minorHAnsi" w:cstheme="minorHAnsi"/>
        </w:rPr>
        <w:t xml:space="preserve">) Nicolas </w:t>
      </w:r>
      <w:proofErr w:type="spellStart"/>
      <w:r w:rsidR="00B65C28">
        <w:rPr>
          <w:rFonts w:asciiTheme="minorHAnsi" w:hAnsiTheme="minorHAnsi" w:cstheme="minorHAnsi"/>
        </w:rPr>
        <w:t>Cauchi</w:t>
      </w:r>
      <w:proofErr w:type="spellEnd"/>
      <w:r w:rsidR="00B65C28">
        <w:rPr>
          <w:rFonts w:asciiTheme="minorHAnsi" w:hAnsiTheme="minorHAnsi" w:cstheme="minorHAnsi"/>
        </w:rPr>
        <w:t>-Duval</w:t>
      </w:r>
      <w:r w:rsidR="006D7D6D">
        <w:rPr>
          <w:rFonts w:asciiTheme="minorHAnsi" w:hAnsiTheme="minorHAnsi" w:cstheme="minorHAnsi"/>
        </w:rPr>
        <w:t>.</w:t>
      </w:r>
    </w:p>
    <w:p w:rsidR="00220C85" w:rsidRDefault="00220C85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</w:p>
    <w:p w:rsidR="006D7D6D" w:rsidRDefault="006D7D6D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</w:p>
    <w:p w:rsidR="006D7D6D" w:rsidRPr="006D7D6D" w:rsidRDefault="006D7D6D" w:rsidP="005B78AB">
      <w:pPr>
        <w:spacing w:before="120"/>
        <w:ind w:firstLine="426"/>
        <w:jc w:val="both"/>
        <w:rPr>
          <w:rFonts w:asciiTheme="minorHAnsi" w:hAnsiTheme="minorHAnsi" w:cstheme="minorHAnsi"/>
          <w:b/>
        </w:rPr>
      </w:pPr>
      <w:r w:rsidRPr="006D7D6D">
        <w:rPr>
          <w:rFonts w:ascii="Arial" w:hAnsi="Arial" w:cs="Arial"/>
          <w:b/>
        </w:rPr>
        <w:t>►</w:t>
      </w:r>
      <w:r w:rsidRPr="006D7D6D">
        <w:rPr>
          <w:rFonts w:asciiTheme="minorHAnsi" w:hAnsiTheme="minorHAnsi" w:cstheme="minorHAnsi"/>
          <w:b/>
        </w:rPr>
        <w:t xml:space="preserve"> Volume horaire de l’offre </w:t>
      </w:r>
      <w:r w:rsidR="00723681">
        <w:rPr>
          <w:rFonts w:asciiTheme="minorHAnsi" w:hAnsiTheme="minorHAnsi" w:cstheme="minorHAnsi"/>
          <w:b/>
        </w:rPr>
        <w:t>de formation</w:t>
      </w:r>
    </w:p>
    <w:p w:rsidR="006D7D6D" w:rsidRDefault="006D7D6D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2012-2013, le volume ho</w:t>
      </w:r>
      <w:r w:rsidR="00723681">
        <w:rPr>
          <w:rFonts w:asciiTheme="minorHAnsi" w:hAnsiTheme="minorHAnsi" w:cstheme="minorHAnsi"/>
        </w:rPr>
        <w:t>raire des enseignements selon le niveau de</w:t>
      </w:r>
      <w:r>
        <w:rPr>
          <w:rFonts w:asciiTheme="minorHAnsi" w:hAnsiTheme="minorHAnsi" w:cstheme="minorHAnsi"/>
        </w:rPr>
        <w:t xml:space="preserve"> formation et le statut des enseignants est le suivant </w:t>
      </w:r>
      <w:r w:rsidR="00B65C28">
        <w:rPr>
          <w:rFonts w:asciiTheme="minorHAnsi" w:hAnsiTheme="minorHAnsi" w:cstheme="minorHAnsi"/>
        </w:rPr>
        <w:t xml:space="preserve">(16 h de conférences non comprises) </w:t>
      </w:r>
      <w:r>
        <w:rPr>
          <w:rFonts w:asciiTheme="minorHAnsi" w:hAnsiTheme="minorHAnsi" w:cstheme="minorHAnsi"/>
        </w:rPr>
        <w:t>:</w:t>
      </w:r>
    </w:p>
    <w:p w:rsidR="006D7897" w:rsidRDefault="006D7897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</w:p>
    <w:tbl>
      <w:tblPr>
        <w:tblW w:w="5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5"/>
        <w:gridCol w:w="1373"/>
        <w:gridCol w:w="1107"/>
        <w:gridCol w:w="960"/>
      </w:tblGrid>
      <w:tr w:rsidR="006D7897" w:rsidRPr="006D7897" w:rsidTr="006D7897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Formations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Enseignants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Default="006D7897" w:rsidP="006D7897">
            <w:pP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Faculté SS</w:t>
            </w:r>
          </w:p>
          <w:p w:rsidR="006D7897" w:rsidRPr="006D7897" w:rsidRDefault="006D7897" w:rsidP="006D7897">
            <w:pP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(e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6D7897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mutual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isés</w:t>
            </w:r>
            <w:r w:rsidRPr="006D7897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spacing w:after="12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Institut démo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spacing w:after="12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Interv</w:t>
            </w:r>
            <w:proofErr w:type="spellEnd"/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spellStart"/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ext</w:t>
            </w:r>
            <w:proofErr w:type="spellEnd"/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L5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219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L6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229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M1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202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M2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186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lang w:eastAsia="fr-FR"/>
              </w:rPr>
              <w:t>M3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312</w:t>
            </w:r>
          </w:p>
        </w:tc>
      </w:tr>
      <w:tr w:rsidR="006D7897" w:rsidRPr="006D7897" w:rsidTr="006D789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620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D7897" w:rsidRPr="006D7897" w:rsidRDefault="006D7897" w:rsidP="006D7897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78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1148</w:t>
            </w:r>
          </w:p>
        </w:tc>
      </w:tr>
    </w:tbl>
    <w:p w:rsidR="006D7D6D" w:rsidRDefault="006D7897" w:rsidP="006D78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Volume horaire </w:t>
      </w:r>
      <w:r w:rsidR="00934F64">
        <w:rPr>
          <w:rFonts w:asciiTheme="minorHAnsi" w:hAnsiTheme="minorHAnsi" w:cstheme="minorHAnsi"/>
        </w:rPr>
        <w:t xml:space="preserve">(HETD) </w:t>
      </w:r>
      <w:r>
        <w:rPr>
          <w:rFonts w:asciiTheme="minorHAnsi" w:hAnsiTheme="minorHAnsi" w:cstheme="minorHAnsi"/>
        </w:rPr>
        <w:t>de l’offre de formation de l’institut de démographie</w:t>
      </w:r>
    </w:p>
    <w:p w:rsidR="006D7897" w:rsidRPr="008716D6" w:rsidRDefault="00934F64" w:rsidP="006D789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(Source : guide pédagogique L + M</w:t>
      </w:r>
      <w:r w:rsidR="006D7897" w:rsidRPr="008716D6">
        <w:rPr>
          <w:rFonts w:asciiTheme="minorHAnsi" w:hAnsiTheme="minorHAnsi" w:cstheme="minorHAnsi"/>
          <w:sz w:val="20"/>
          <w:szCs w:val="20"/>
        </w:rPr>
        <w:t>)</w:t>
      </w:r>
    </w:p>
    <w:p w:rsidR="006D7897" w:rsidRDefault="004F3E91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</w:t>
      </w:r>
      <w:r w:rsidR="008716D6">
        <w:rPr>
          <w:rFonts w:asciiTheme="minorHAnsi" w:hAnsiTheme="minorHAnsi" w:cstheme="minorHAnsi"/>
        </w:rPr>
        <w:t xml:space="preserve"> 2012-2013</w:t>
      </w:r>
      <w:r>
        <w:rPr>
          <w:rFonts w:asciiTheme="minorHAnsi" w:hAnsiTheme="minorHAnsi" w:cstheme="minorHAnsi"/>
        </w:rPr>
        <w:t>,</w:t>
      </w:r>
      <w:r w:rsidR="008716D6">
        <w:rPr>
          <w:rFonts w:asciiTheme="minorHAnsi" w:hAnsiTheme="minorHAnsi" w:cstheme="minorHAnsi"/>
        </w:rPr>
        <w:t xml:space="preserve"> le volume horaire de chaque cours a fait l’objet d’un « rabotage » selon une règle préalablement établie. Les données présentées dans le tableau ci-</w:t>
      </w:r>
      <w:r w:rsidR="0003780C">
        <w:rPr>
          <w:rFonts w:asciiTheme="minorHAnsi" w:hAnsiTheme="minorHAnsi" w:cstheme="minorHAnsi"/>
        </w:rPr>
        <w:t>avant</w:t>
      </w:r>
      <w:r w:rsidR="00882DFA">
        <w:rPr>
          <w:rFonts w:asciiTheme="minorHAnsi" w:hAnsiTheme="minorHAnsi" w:cstheme="minorHAnsi"/>
        </w:rPr>
        <w:t xml:space="preserve"> ne le prennent pas en compte. </w:t>
      </w:r>
      <w:r w:rsidR="008716D6">
        <w:rPr>
          <w:rFonts w:asciiTheme="minorHAnsi" w:hAnsiTheme="minorHAnsi" w:cstheme="minorHAnsi"/>
        </w:rPr>
        <w:t xml:space="preserve">Pour les intervenants extérieurs, le gain </w:t>
      </w:r>
      <w:r w:rsidR="00882DFA">
        <w:rPr>
          <w:rFonts w:asciiTheme="minorHAnsi" w:hAnsiTheme="minorHAnsi" w:cstheme="minorHAnsi"/>
        </w:rPr>
        <w:t xml:space="preserve">lié à cette restriction </w:t>
      </w:r>
      <w:r w:rsidR="008716D6">
        <w:rPr>
          <w:rFonts w:asciiTheme="minorHAnsi" w:hAnsiTheme="minorHAnsi" w:cstheme="minorHAnsi"/>
        </w:rPr>
        <w:t xml:space="preserve">a été de </w:t>
      </w:r>
      <w:r w:rsidR="0003780C">
        <w:rPr>
          <w:rFonts w:asciiTheme="minorHAnsi" w:hAnsiTheme="minorHAnsi" w:cstheme="minorHAnsi"/>
        </w:rPr>
        <w:t>11 % des heures initialement prévues.</w:t>
      </w:r>
    </w:p>
    <w:p w:rsidR="00882DFA" w:rsidRDefault="00CB3E3F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enseignants de l’institut de démographie dispensent 405 heures d’enseignement (HETD) d</w:t>
      </w:r>
      <w:r w:rsidR="00AB6A37">
        <w:rPr>
          <w:rFonts w:asciiTheme="minorHAnsi" w:hAnsiTheme="minorHAnsi" w:cstheme="minorHAnsi"/>
        </w:rPr>
        <w:t>ans les cursus proposés par la Faculté de Sciences S</w:t>
      </w:r>
      <w:r>
        <w:rPr>
          <w:rFonts w:asciiTheme="minorHAnsi" w:hAnsiTheme="minorHAnsi" w:cstheme="minorHAnsi"/>
        </w:rPr>
        <w:t>ociales (hors institut de démographie). Ces heures se répartissent de façon suivante :</w:t>
      </w:r>
    </w:p>
    <w:p w:rsidR="00CB3E3F" w:rsidRDefault="00CB3E3F" w:rsidP="005B78AB">
      <w:pPr>
        <w:spacing w:before="120"/>
        <w:ind w:firstLine="426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3402" w:type="dxa"/>
        <w:tblInd w:w="2802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:rsidR="00CB3E3F" w:rsidRPr="00CB3E3F" w:rsidRDefault="00CB3E3F" w:rsidP="007323A3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CB3E3F">
              <w:rPr>
                <w:rFonts w:eastAsia="Times New Roman" w:cs="Calibri"/>
                <w:color w:val="000000"/>
                <w:lang w:eastAsia="fr-FR"/>
              </w:rPr>
              <w:t>Nbre</w:t>
            </w:r>
            <w:proofErr w:type="spellEnd"/>
            <w:r w:rsidRPr="00CB3E3F">
              <w:rPr>
                <w:rFonts w:eastAsia="Times New Roman" w:cs="Calibri"/>
                <w:color w:val="000000"/>
                <w:lang w:eastAsia="fr-FR"/>
              </w:rPr>
              <w:t xml:space="preserve"> d'heures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r w:rsidRPr="00B65C28">
              <w:rPr>
                <w:rFonts w:eastAsia="Times New Roman" w:cs="Calibri"/>
                <w:color w:val="000000"/>
                <w:lang w:eastAsia="fr-FR"/>
              </w:rPr>
              <w:t>L1 +</w:t>
            </w:r>
            <w:r w:rsidRPr="00CB3E3F">
              <w:rPr>
                <w:rFonts w:eastAsia="Times New Roman" w:cs="Calibri"/>
                <w:color w:val="000000"/>
                <w:lang w:eastAsia="fr-FR"/>
              </w:rPr>
              <w:t xml:space="preserve"> L2</w:t>
            </w:r>
          </w:p>
        </w:tc>
        <w:tc>
          <w:tcPr>
            <w:tcW w:w="1560" w:type="dxa"/>
          </w:tcPr>
          <w:p w:rsidR="00CB3E3F" w:rsidRPr="00CB3E3F" w:rsidRDefault="00B65C28" w:rsidP="00CB3E3F">
            <w:pPr>
              <w:ind w:right="-303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153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L2 + L3</w:t>
            </w:r>
          </w:p>
        </w:tc>
        <w:tc>
          <w:tcPr>
            <w:tcW w:w="1560" w:type="dxa"/>
          </w:tcPr>
          <w:p w:rsidR="00CB3E3F" w:rsidRPr="00CB3E3F" w:rsidRDefault="00CB3E3F" w:rsidP="00CB3E3F">
            <w:pPr>
              <w:ind w:right="-303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102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L5 + L6</w:t>
            </w:r>
          </w:p>
        </w:tc>
        <w:tc>
          <w:tcPr>
            <w:tcW w:w="1560" w:type="dxa"/>
          </w:tcPr>
          <w:p w:rsidR="00CB3E3F" w:rsidRPr="00CB3E3F" w:rsidRDefault="000D2705" w:rsidP="00CB3E3F">
            <w:pPr>
              <w:ind w:right="-303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54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M1 + M2</w:t>
            </w:r>
          </w:p>
        </w:tc>
        <w:tc>
          <w:tcPr>
            <w:tcW w:w="1560" w:type="dxa"/>
          </w:tcPr>
          <w:p w:rsidR="00CB3E3F" w:rsidRPr="00CB3E3F" w:rsidRDefault="00CB3E3F" w:rsidP="00CB3E3F">
            <w:pPr>
              <w:ind w:right="-303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36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M3</w:t>
            </w:r>
          </w:p>
        </w:tc>
        <w:tc>
          <w:tcPr>
            <w:tcW w:w="1560" w:type="dxa"/>
          </w:tcPr>
          <w:p w:rsidR="00CB3E3F" w:rsidRPr="00CB3E3F" w:rsidRDefault="00CB3E3F" w:rsidP="00CB3E3F">
            <w:pPr>
              <w:ind w:right="-303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color w:val="000000"/>
                <w:lang w:eastAsia="fr-FR"/>
              </w:rPr>
              <w:t>24</w:t>
            </w:r>
          </w:p>
        </w:tc>
      </w:tr>
      <w:tr w:rsidR="00CB3E3F" w:rsidTr="007323A3">
        <w:trPr>
          <w:trHeight w:val="388"/>
        </w:trPr>
        <w:tc>
          <w:tcPr>
            <w:tcW w:w="1842" w:type="dxa"/>
          </w:tcPr>
          <w:p w:rsidR="00CB3E3F" w:rsidRPr="00CB3E3F" w:rsidRDefault="00CB3E3F" w:rsidP="00CB3E3F">
            <w:pPr>
              <w:ind w:right="-303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B3E3F">
              <w:rPr>
                <w:rFonts w:eastAsia="Times New Roman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60" w:type="dxa"/>
          </w:tcPr>
          <w:p w:rsidR="00CB3E3F" w:rsidRPr="00CB3E3F" w:rsidRDefault="000D2705" w:rsidP="00CB3E3F">
            <w:pPr>
              <w:ind w:right="-303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369</w:t>
            </w:r>
          </w:p>
        </w:tc>
      </w:tr>
    </w:tbl>
    <w:p w:rsidR="00CB3E3F" w:rsidRDefault="007323A3" w:rsidP="007323A3">
      <w:pPr>
        <w:ind w:left="2835"/>
        <w:jc w:val="both"/>
        <w:rPr>
          <w:rFonts w:asciiTheme="minorHAnsi" w:hAnsiTheme="minorHAnsi" w:cstheme="minorHAnsi"/>
          <w:b/>
        </w:rPr>
      </w:pPr>
      <w:r w:rsidRPr="007323A3">
        <w:rPr>
          <w:rFonts w:asciiTheme="minorHAnsi" w:hAnsiTheme="minorHAnsi" w:cstheme="minorHAnsi"/>
          <w:b/>
        </w:rPr>
        <w:t>Heures d’enseignement (HETD)</w:t>
      </w:r>
    </w:p>
    <w:p w:rsidR="007323A3" w:rsidRDefault="007323A3" w:rsidP="007323A3">
      <w:pPr>
        <w:spacing w:before="120"/>
        <w:ind w:firstLine="425"/>
        <w:jc w:val="both"/>
        <w:rPr>
          <w:rFonts w:asciiTheme="minorHAnsi" w:hAnsiTheme="minorHAnsi" w:cstheme="minorHAnsi"/>
        </w:rPr>
      </w:pPr>
    </w:p>
    <w:p w:rsidR="007323A3" w:rsidRDefault="007323A3" w:rsidP="007323A3">
      <w:pPr>
        <w:spacing w:before="120"/>
        <w:ind w:firstLine="425"/>
        <w:jc w:val="both"/>
        <w:rPr>
          <w:rFonts w:ascii="Arial" w:hAnsi="Arial" w:cs="Arial"/>
          <w:b/>
        </w:rPr>
      </w:pPr>
      <w:r w:rsidRPr="007323A3">
        <w:rPr>
          <w:rFonts w:ascii="Arial" w:hAnsi="Arial" w:cs="Arial"/>
          <w:b/>
        </w:rPr>
        <w:t>►</w:t>
      </w:r>
      <w:r w:rsidRPr="007323A3">
        <w:rPr>
          <w:rFonts w:asciiTheme="minorHAnsi" w:hAnsiTheme="minorHAnsi" w:cstheme="minorHAnsi"/>
          <w:b/>
        </w:rPr>
        <w:t xml:space="preserve"> Budget</w:t>
      </w:r>
      <w:r>
        <w:rPr>
          <w:rFonts w:asciiTheme="minorHAnsi" w:hAnsiTheme="minorHAnsi" w:cstheme="minorHAnsi"/>
        </w:rPr>
        <w:t xml:space="preserve"> </w:t>
      </w:r>
    </w:p>
    <w:p w:rsidR="007323A3" w:rsidRPr="007323A3" w:rsidRDefault="003369C7" w:rsidP="007323A3">
      <w:pPr>
        <w:spacing w:before="12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Ci-joint le bilan financier</w:t>
      </w:r>
    </w:p>
    <w:p w:rsidR="007323A3" w:rsidRDefault="007323A3" w:rsidP="007323A3">
      <w:pPr>
        <w:spacing w:before="120"/>
        <w:ind w:firstLine="425"/>
        <w:jc w:val="both"/>
        <w:rPr>
          <w:rFonts w:ascii="Arial" w:hAnsi="Arial" w:cs="Arial"/>
          <w:b/>
        </w:rPr>
      </w:pPr>
    </w:p>
    <w:p w:rsidR="007323A3" w:rsidRDefault="007323A3" w:rsidP="007323A3">
      <w:pPr>
        <w:spacing w:before="120"/>
        <w:ind w:firstLine="425"/>
        <w:jc w:val="both"/>
        <w:rPr>
          <w:rFonts w:asciiTheme="minorHAnsi" w:hAnsiTheme="minorHAnsi" w:cstheme="minorHAnsi"/>
          <w:b/>
        </w:rPr>
      </w:pPr>
      <w:r w:rsidRPr="007323A3">
        <w:rPr>
          <w:rFonts w:ascii="Arial" w:hAnsi="Arial" w:cs="Arial"/>
          <w:b/>
        </w:rPr>
        <w:t>►</w:t>
      </w:r>
      <w:r w:rsidRPr="007323A3">
        <w:rPr>
          <w:rFonts w:asciiTheme="minorHAnsi" w:hAnsiTheme="minorHAnsi" w:cstheme="minorHAnsi"/>
          <w:b/>
        </w:rPr>
        <w:t xml:space="preserve"> Recherche</w:t>
      </w:r>
    </w:p>
    <w:p w:rsidR="00D051DD" w:rsidRPr="002872C2" w:rsidRDefault="002872C2" w:rsidP="00D051DD">
      <w:pPr>
        <w:spacing w:before="120"/>
        <w:ind w:firstLine="425"/>
        <w:jc w:val="both"/>
        <w:rPr>
          <w:rFonts w:asciiTheme="minorHAnsi" w:hAnsiTheme="minorHAnsi" w:cstheme="minorHAnsi"/>
        </w:rPr>
      </w:pPr>
      <w:r w:rsidRPr="002872C2">
        <w:rPr>
          <w:rFonts w:asciiTheme="minorHAnsi" w:hAnsiTheme="minorHAnsi" w:cstheme="minorHAnsi"/>
        </w:rPr>
        <w:t xml:space="preserve">Tous les </w:t>
      </w:r>
      <w:r>
        <w:rPr>
          <w:rFonts w:asciiTheme="minorHAnsi" w:hAnsiTheme="minorHAnsi" w:cstheme="minorHAnsi"/>
        </w:rPr>
        <w:t>enseignants-chercheurs sur poste appartiennent à SAGE. L’activité de recherche est déclinée en 6 axes dont l’un d’eux (</w:t>
      </w:r>
      <w:r w:rsidRPr="002872C2">
        <w:rPr>
          <w:rFonts w:asciiTheme="minorHAnsi" w:hAnsiTheme="minorHAnsi" w:cstheme="minorHAnsi"/>
          <w:i/>
        </w:rPr>
        <w:t>Axe 4 – Politiques sociales, dynamiques familiales et professionnelles</w:t>
      </w:r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co-dirigé</w:t>
      </w:r>
      <w:proofErr w:type="spellEnd"/>
      <w:r>
        <w:rPr>
          <w:rFonts w:asciiTheme="minorHAnsi" w:hAnsiTheme="minorHAnsi" w:cstheme="minorHAnsi"/>
        </w:rPr>
        <w:t xml:space="preserve"> par Didier Breton, est en cohérenc</w:t>
      </w:r>
      <w:r w:rsidR="00D051DD">
        <w:rPr>
          <w:rFonts w:asciiTheme="minorHAnsi" w:hAnsiTheme="minorHAnsi" w:cstheme="minorHAnsi"/>
        </w:rPr>
        <w:t xml:space="preserve">e avec les thématiques du </w:t>
      </w:r>
      <w:proofErr w:type="spellStart"/>
      <w:r w:rsidR="00D051DD">
        <w:rPr>
          <w:rFonts w:asciiTheme="minorHAnsi" w:hAnsiTheme="minorHAnsi" w:cstheme="minorHAnsi"/>
        </w:rPr>
        <w:t>labex</w:t>
      </w:r>
      <w:proofErr w:type="spellEnd"/>
      <w:r w:rsidR="00D051DD">
        <w:rPr>
          <w:rFonts w:asciiTheme="minorHAnsi" w:hAnsiTheme="minorHAnsi" w:cstheme="minorHAnsi"/>
        </w:rPr>
        <w:t xml:space="preserve"> </w:t>
      </w:r>
      <w:proofErr w:type="spellStart"/>
      <w:r w:rsidR="00282538">
        <w:rPr>
          <w:rFonts w:asciiTheme="minorHAnsi" w:hAnsiTheme="minorHAnsi" w:cstheme="minorHAnsi"/>
        </w:rPr>
        <w:t>iPOPs</w:t>
      </w:r>
      <w:proofErr w:type="spellEnd"/>
      <w:r w:rsidR="00D051DD">
        <w:rPr>
          <w:rFonts w:asciiTheme="minorHAnsi" w:hAnsiTheme="minorHAnsi" w:cstheme="minorHAnsi"/>
        </w:rPr>
        <w:t xml:space="preserve">. </w:t>
      </w:r>
    </w:p>
    <w:p w:rsidR="00476CC1" w:rsidRDefault="002872C2" w:rsidP="007323A3">
      <w:pPr>
        <w:spacing w:before="120"/>
        <w:ind w:firstLine="425"/>
        <w:jc w:val="both"/>
        <w:rPr>
          <w:rFonts w:asciiTheme="minorHAnsi" w:hAnsiTheme="minorHAnsi" w:cstheme="minorHAnsi"/>
        </w:rPr>
      </w:pPr>
      <w:r w:rsidRPr="002872C2">
        <w:rPr>
          <w:rFonts w:asciiTheme="minorHAnsi" w:hAnsiTheme="minorHAnsi" w:cstheme="minorHAnsi"/>
        </w:rPr>
        <w:t xml:space="preserve">Le parcours </w:t>
      </w:r>
      <w:r w:rsidRPr="004531BA">
        <w:rPr>
          <w:rFonts w:asciiTheme="minorHAnsi" w:hAnsiTheme="minorHAnsi" w:cstheme="minorHAnsi"/>
          <w:i/>
        </w:rPr>
        <w:t>recherche</w:t>
      </w:r>
      <w:r w:rsidRPr="002872C2">
        <w:rPr>
          <w:rFonts w:asciiTheme="minorHAnsi" w:hAnsiTheme="minorHAnsi" w:cstheme="minorHAnsi"/>
        </w:rPr>
        <w:t xml:space="preserve"> du master est désormais reconnu.</w:t>
      </w:r>
      <w:r>
        <w:rPr>
          <w:rFonts w:asciiTheme="minorHAnsi" w:hAnsiTheme="minorHAnsi" w:cstheme="minorHAnsi"/>
        </w:rPr>
        <w:t xml:space="preserve"> On enregistre cette année 6 stages en laboratoire : 5 en M1 et 1 en M2.</w:t>
      </w:r>
      <w:r w:rsidR="00D051DD">
        <w:rPr>
          <w:rFonts w:asciiTheme="minorHAnsi" w:hAnsiTheme="minorHAnsi" w:cstheme="minorHAnsi"/>
        </w:rPr>
        <w:t xml:space="preserve"> Deux étudiants titulaires du master de démographie poursuivent cette année en thèse CIFRE dont l’une est labellisée </w:t>
      </w:r>
      <w:proofErr w:type="spellStart"/>
      <w:r w:rsidR="00D051DD">
        <w:rPr>
          <w:rFonts w:asciiTheme="minorHAnsi" w:hAnsiTheme="minorHAnsi" w:cstheme="minorHAnsi"/>
        </w:rPr>
        <w:t>labex</w:t>
      </w:r>
      <w:proofErr w:type="spellEnd"/>
      <w:r w:rsidR="00D051DD">
        <w:rPr>
          <w:rFonts w:asciiTheme="minorHAnsi" w:hAnsiTheme="minorHAnsi" w:cstheme="minorHAnsi"/>
        </w:rPr>
        <w:t xml:space="preserve"> </w:t>
      </w:r>
      <w:proofErr w:type="spellStart"/>
      <w:r w:rsidR="00282538">
        <w:rPr>
          <w:rFonts w:asciiTheme="minorHAnsi" w:hAnsiTheme="minorHAnsi" w:cstheme="minorHAnsi"/>
        </w:rPr>
        <w:t>iPOPs</w:t>
      </w:r>
      <w:proofErr w:type="spellEnd"/>
      <w:r w:rsidR="00D051DD">
        <w:rPr>
          <w:rFonts w:asciiTheme="minorHAnsi" w:hAnsiTheme="minorHAnsi" w:cstheme="minorHAnsi"/>
        </w:rPr>
        <w:t>.</w:t>
      </w:r>
    </w:p>
    <w:p w:rsidR="002872C2" w:rsidRDefault="002872C2" w:rsidP="007323A3">
      <w:pPr>
        <w:spacing w:before="12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4C21DF">
        <w:rPr>
          <w:rFonts w:asciiTheme="minorHAnsi" w:hAnsiTheme="minorHAnsi" w:cstheme="minorHAnsi"/>
        </w:rPr>
        <w:t xml:space="preserve">étudiants sont intégrés à </w:t>
      </w:r>
      <w:r w:rsidR="00271EC2">
        <w:rPr>
          <w:rFonts w:asciiTheme="minorHAnsi" w:hAnsiTheme="minorHAnsi" w:cstheme="minorHAnsi"/>
        </w:rPr>
        <w:t>trois</w:t>
      </w:r>
      <w:r w:rsidR="004C21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programmes de recherche développés par l’institut de démographie</w:t>
      </w:r>
      <w:r w:rsidR="004531BA">
        <w:rPr>
          <w:rFonts w:asciiTheme="minorHAnsi" w:hAnsiTheme="minorHAnsi" w:cstheme="minorHAnsi"/>
        </w:rPr>
        <w:t> :</w:t>
      </w:r>
    </w:p>
    <w:p w:rsidR="004C21DF" w:rsidRDefault="004C21DF" w:rsidP="004C21DF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OCDE : enquête sur l’insertion professionnelle d’étudiants handicapés de quel</w:t>
      </w:r>
      <w:r w:rsidR="000D2705">
        <w:rPr>
          <w:rFonts w:asciiTheme="minorHAnsi" w:hAnsiTheme="minorHAnsi" w:cstheme="minorHAnsi"/>
        </w:rPr>
        <w:t>ques pays européens</w:t>
      </w:r>
      <w:r>
        <w:rPr>
          <w:rFonts w:asciiTheme="minorHAnsi" w:hAnsiTheme="minorHAnsi" w:cstheme="minorHAnsi"/>
        </w:rPr>
        <w:t>.</w:t>
      </w:r>
    </w:p>
    <w:p w:rsidR="004C21DF" w:rsidRDefault="004C21DF" w:rsidP="006D0B49">
      <w:pPr>
        <w:pStyle w:val="Paragraphedeliste"/>
        <w:numPr>
          <w:ilvl w:val="0"/>
          <w:numId w:val="1"/>
        </w:numPr>
        <w:spacing w:before="120"/>
        <w:ind w:left="78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GIP Gérontologie-Alsace : enquête « Bien vieillir en Alsace » s’intéressant à l’isolement des personnes âgées de Gerstheim, </w:t>
      </w:r>
      <w:proofErr w:type="spellStart"/>
      <w:r>
        <w:rPr>
          <w:rFonts w:asciiTheme="minorHAnsi" w:hAnsiTheme="minorHAnsi" w:cstheme="minorHAnsi"/>
        </w:rPr>
        <w:t>Schnersheim</w:t>
      </w:r>
      <w:proofErr w:type="spellEnd"/>
      <w:r>
        <w:rPr>
          <w:rFonts w:asciiTheme="minorHAnsi" w:hAnsiTheme="minorHAnsi" w:cstheme="minorHAnsi"/>
        </w:rPr>
        <w:t>, un quartier d’Illkirch et trois quartiers strasbourgeois.</w:t>
      </w:r>
    </w:p>
    <w:p w:rsidR="004C21DF" w:rsidRDefault="004C21DF" w:rsidP="004C21DF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REUNICA : enquête sur la vulnérabilité des personnes âgées membres de cet organisme (partenariat avec le CERIS et l’ORSAL).</w:t>
      </w:r>
    </w:p>
    <w:p w:rsidR="00FE1223" w:rsidRDefault="00D32D30" w:rsidP="00FE1223">
      <w:p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L’institut de démographie est associé </w:t>
      </w:r>
      <w:r w:rsidR="00FE1223">
        <w:rPr>
          <w:rFonts w:asciiTheme="minorHAnsi" w:hAnsiTheme="minorHAnsi" w:cstheme="minorHAnsi"/>
        </w:rPr>
        <w:t xml:space="preserve">à </w:t>
      </w:r>
      <w:r w:rsidR="006D0B49">
        <w:rPr>
          <w:rFonts w:asciiTheme="minorHAnsi" w:hAnsiTheme="minorHAnsi" w:cstheme="minorHAnsi"/>
        </w:rPr>
        <w:t>di</w:t>
      </w:r>
      <w:r w:rsidR="00FE1223">
        <w:rPr>
          <w:rFonts w:asciiTheme="minorHAnsi" w:hAnsiTheme="minorHAnsi" w:cstheme="minorHAnsi"/>
        </w:rPr>
        <w:t>verses enquêtes :</w:t>
      </w:r>
    </w:p>
    <w:p w:rsidR="00FE1223" w:rsidRDefault="00FE1223" w:rsidP="00FE1223">
      <w:p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32D30">
        <w:rPr>
          <w:rFonts w:asciiTheme="minorHAnsi" w:hAnsiTheme="minorHAnsi" w:cstheme="minorHAnsi"/>
        </w:rPr>
        <w:t xml:space="preserve">rojet de recherche sur le logement en développement durable CIMBEES dirigé par l’Institut d’Urbanisme et d’Aménagement Régional. </w:t>
      </w:r>
    </w:p>
    <w:p w:rsidR="00FE1223" w:rsidRDefault="00FE1223" w:rsidP="006D0B49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Enquête annuelle de l’AFGES sur les conditions de vie des étudiants en Alsace (membre du comité de pilotage et réalisation de l’enquête par trois stagiaires).</w:t>
      </w:r>
    </w:p>
    <w:p w:rsidR="00FE1223" w:rsidRDefault="00FE1223" w:rsidP="006D0B49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Recensement de la population </w:t>
      </w:r>
      <w:r w:rsidR="006D0B49">
        <w:rPr>
          <w:rFonts w:asciiTheme="minorHAnsi" w:hAnsiTheme="minorHAnsi" w:cstheme="minorHAnsi"/>
        </w:rPr>
        <w:t xml:space="preserve">piloté par la CUS et l’INSEE : </w:t>
      </w:r>
      <w:r>
        <w:rPr>
          <w:rFonts w:asciiTheme="minorHAnsi" w:hAnsiTheme="minorHAnsi" w:cstheme="minorHAnsi"/>
        </w:rPr>
        <w:t xml:space="preserve">participation de tous les étudiants </w:t>
      </w:r>
      <w:r w:rsidR="006D0B4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licence de dém</w:t>
      </w:r>
      <w:r w:rsidR="006D0B49">
        <w:rPr>
          <w:rFonts w:asciiTheme="minorHAnsi" w:hAnsiTheme="minorHAnsi" w:cstheme="minorHAnsi"/>
        </w:rPr>
        <w:t>ographie à la phase de collecte.</w:t>
      </w:r>
    </w:p>
    <w:p w:rsidR="00271EC2" w:rsidRDefault="004531BA" w:rsidP="00D051DD">
      <w:pPr>
        <w:spacing w:before="12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plupart des enseignants-chercheurs participent à des enquêtes </w:t>
      </w:r>
      <w:r w:rsidR="004378CE">
        <w:rPr>
          <w:rFonts w:asciiTheme="minorHAnsi" w:hAnsiTheme="minorHAnsi" w:cstheme="minorHAnsi"/>
        </w:rPr>
        <w:t>en association avec</w:t>
      </w:r>
      <w:r w:rsidR="00543FE3">
        <w:rPr>
          <w:rFonts w:asciiTheme="minorHAnsi" w:hAnsiTheme="minorHAnsi" w:cstheme="minorHAnsi"/>
        </w:rPr>
        <w:t xml:space="preserve"> l’INED </w:t>
      </w:r>
      <w:r>
        <w:rPr>
          <w:rFonts w:asciiTheme="minorHAnsi" w:hAnsiTheme="minorHAnsi" w:cstheme="minorHAnsi"/>
        </w:rPr>
        <w:t xml:space="preserve">ou </w:t>
      </w:r>
      <w:r w:rsidR="004378CE">
        <w:rPr>
          <w:rFonts w:asciiTheme="minorHAnsi" w:hAnsiTheme="minorHAnsi" w:cstheme="minorHAnsi"/>
        </w:rPr>
        <w:t xml:space="preserve">à des </w:t>
      </w:r>
      <w:r>
        <w:rPr>
          <w:rFonts w:asciiTheme="minorHAnsi" w:hAnsiTheme="minorHAnsi" w:cstheme="minorHAnsi"/>
        </w:rPr>
        <w:t xml:space="preserve">projets </w:t>
      </w:r>
      <w:r w:rsidR="004378CE">
        <w:rPr>
          <w:rFonts w:asciiTheme="minorHAnsi" w:hAnsiTheme="minorHAnsi" w:cstheme="minorHAnsi"/>
        </w:rPr>
        <w:t xml:space="preserve">de formation doctorale </w:t>
      </w:r>
      <w:r>
        <w:rPr>
          <w:rFonts w:asciiTheme="minorHAnsi" w:hAnsiTheme="minorHAnsi" w:cstheme="minorHAnsi"/>
        </w:rPr>
        <w:t>d’envergure nationale :</w:t>
      </w:r>
    </w:p>
    <w:p w:rsidR="004531BA" w:rsidRDefault="00543FE3" w:rsidP="004531BA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Enquête </w:t>
      </w:r>
      <w:r w:rsidR="006F3C7F">
        <w:rPr>
          <w:rFonts w:asciiTheme="minorHAnsi" w:hAnsiTheme="minorHAnsi" w:cstheme="minorHAnsi"/>
        </w:rPr>
        <w:t>EFL 2011 (</w:t>
      </w:r>
      <w:r w:rsidR="004378CE" w:rsidRPr="006F3C7F">
        <w:rPr>
          <w:rFonts w:asciiTheme="minorHAnsi" w:hAnsiTheme="minorHAnsi" w:cstheme="minorHAnsi"/>
        </w:rPr>
        <w:t>Famille</w:t>
      </w:r>
      <w:r w:rsidR="006F3C7F">
        <w:rPr>
          <w:rFonts w:asciiTheme="minorHAnsi" w:hAnsiTheme="minorHAnsi" w:cstheme="minorHAnsi"/>
        </w:rPr>
        <w:t xml:space="preserve"> et L</w:t>
      </w:r>
      <w:r w:rsidRPr="006F3C7F">
        <w:rPr>
          <w:rFonts w:asciiTheme="minorHAnsi" w:hAnsiTheme="minorHAnsi" w:cstheme="minorHAnsi"/>
        </w:rPr>
        <w:t>ogements</w:t>
      </w:r>
      <w:r w:rsidR="004378C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et projet </w:t>
      </w:r>
      <w:r w:rsidR="006F3C7F">
        <w:rPr>
          <w:rFonts w:asciiTheme="minorHAnsi" w:hAnsiTheme="minorHAnsi" w:cstheme="minorHAnsi"/>
        </w:rPr>
        <w:t>Lili (</w:t>
      </w:r>
      <w:r w:rsidRPr="006F3C7F">
        <w:rPr>
          <w:rFonts w:asciiTheme="minorHAnsi" w:hAnsiTheme="minorHAnsi" w:cstheme="minorHAnsi"/>
        </w:rPr>
        <w:t>Des Lieux aux Liens</w:t>
      </w:r>
      <w:r w:rsidR="004378CE">
        <w:rPr>
          <w:rFonts w:asciiTheme="minorHAnsi" w:hAnsiTheme="minorHAnsi" w:cstheme="minorHAnsi"/>
        </w:rPr>
        <w:t>)</w:t>
      </w:r>
    </w:p>
    <w:p w:rsidR="004378CE" w:rsidRDefault="004378CE" w:rsidP="004531BA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Enquête ELFE (</w:t>
      </w:r>
      <w:proofErr w:type="spellStart"/>
      <w:r w:rsidR="006F3C7F">
        <w:rPr>
          <w:rFonts w:asciiTheme="minorHAnsi" w:hAnsiTheme="minorHAnsi" w:cstheme="minorHAnsi"/>
        </w:rPr>
        <w:t>Etude</w:t>
      </w:r>
      <w:proofErr w:type="spellEnd"/>
      <w:r w:rsidR="006F3C7F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ongitudinal</w:t>
      </w:r>
      <w:r w:rsidR="006F3C7F">
        <w:rPr>
          <w:rFonts w:asciiTheme="minorHAnsi" w:hAnsiTheme="minorHAnsi" w:cstheme="minorHAnsi"/>
        </w:rPr>
        <w:t>e F</w:t>
      </w:r>
      <w:r>
        <w:rPr>
          <w:rFonts w:asciiTheme="minorHAnsi" w:hAnsiTheme="minorHAnsi" w:cstheme="minorHAnsi"/>
        </w:rPr>
        <w:t>rançaise depuis l’</w:t>
      </w:r>
      <w:r w:rsidR="006F3C7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nfance)</w:t>
      </w:r>
    </w:p>
    <w:p w:rsidR="004378CE" w:rsidRDefault="004378CE" w:rsidP="004531BA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Enquête ERFI-GGS (</w:t>
      </w:r>
      <w:proofErr w:type="spellStart"/>
      <w:r w:rsidR="006F3C7F">
        <w:rPr>
          <w:rFonts w:asciiTheme="minorHAnsi" w:hAnsiTheme="minorHAnsi" w:cstheme="minorHAnsi"/>
        </w:rPr>
        <w:t>Etude</w:t>
      </w:r>
      <w:proofErr w:type="spellEnd"/>
      <w:r w:rsidR="006F3C7F">
        <w:rPr>
          <w:rFonts w:asciiTheme="minorHAnsi" w:hAnsiTheme="minorHAnsi" w:cstheme="minorHAnsi"/>
        </w:rPr>
        <w:t xml:space="preserve"> des Relations Familiales et I</w:t>
      </w:r>
      <w:r>
        <w:rPr>
          <w:rFonts w:asciiTheme="minorHAnsi" w:hAnsiTheme="minorHAnsi" w:cstheme="minorHAnsi"/>
        </w:rPr>
        <w:t>ntergénérationnelles)</w:t>
      </w:r>
    </w:p>
    <w:p w:rsidR="004378CE" w:rsidRDefault="004378CE" w:rsidP="004531BA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Enquête MFV (Migrations, Famille et Vieillissement</w:t>
      </w:r>
      <w:r w:rsidR="006F3C7F">
        <w:rPr>
          <w:rFonts w:asciiTheme="minorHAnsi" w:hAnsiTheme="minorHAnsi" w:cstheme="minorHAnsi"/>
        </w:rPr>
        <w:t>)</w:t>
      </w:r>
    </w:p>
    <w:p w:rsidR="006F3C7F" w:rsidRDefault="006F3C7F" w:rsidP="004531BA">
      <w:pPr>
        <w:pStyle w:val="Paragraphedeliste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Réseau de formation doctorale en démographie (module </w:t>
      </w:r>
      <w:proofErr w:type="spellStart"/>
      <w:r>
        <w:rPr>
          <w:rFonts w:asciiTheme="minorHAnsi" w:hAnsiTheme="minorHAnsi" w:cstheme="minorHAnsi"/>
        </w:rPr>
        <w:t>microsimulation</w:t>
      </w:r>
      <w:proofErr w:type="spellEnd"/>
      <w:r>
        <w:rPr>
          <w:rFonts w:asciiTheme="minorHAnsi" w:hAnsiTheme="minorHAnsi" w:cstheme="minorHAnsi"/>
        </w:rPr>
        <w:t>) auquel sont associés les Instituts de démographie de Paris et Bordeaux, l’IRD, l’INED, Paris V et Nanterre.</w:t>
      </w:r>
    </w:p>
    <w:p w:rsidR="006F3C7F" w:rsidRDefault="006F3C7F" w:rsidP="006F3C7F">
      <w:pPr>
        <w:spacing w:before="120"/>
        <w:ind w:left="42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F3C7F" w:rsidRPr="006F3C7F" w:rsidRDefault="006F3C7F" w:rsidP="006F3C7F">
      <w:pPr>
        <w:spacing w:before="120"/>
        <w:ind w:left="425"/>
        <w:jc w:val="both"/>
        <w:rPr>
          <w:rFonts w:asciiTheme="minorHAnsi" w:hAnsiTheme="minorHAnsi" w:cstheme="minorHAnsi"/>
        </w:rPr>
      </w:pPr>
    </w:p>
    <w:p w:rsidR="00476CC1" w:rsidRDefault="00476CC1" w:rsidP="0047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708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76CC1">
        <w:rPr>
          <w:rFonts w:asciiTheme="minorHAnsi" w:hAnsiTheme="minorHAnsi" w:cstheme="minorHAnsi"/>
          <w:b/>
          <w:sz w:val="28"/>
          <w:szCs w:val="28"/>
        </w:rPr>
        <w:t>PERSPECTIVES</w:t>
      </w:r>
    </w:p>
    <w:p w:rsidR="00476CC1" w:rsidRDefault="00A06E41" w:rsidP="00476CC1">
      <w:pPr>
        <w:tabs>
          <w:tab w:val="left" w:pos="9072"/>
        </w:tabs>
        <w:spacing w:before="120"/>
        <w:jc w:val="both"/>
        <w:rPr>
          <w:rFonts w:asciiTheme="minorHAnsi" w:hAnsiTheme="minorHAnsi" w:cstheme="minorHAnsi"/>
        </w:rPr>
      </w:pPr>
      <w:r w:rsidRPr="007323A3">
        <w:rPr>
          <w:rFonts w:ascii="Arial" w:hAnsi="Arial" w:cs="Arial"/>
          <w:b/>
        </w:rPr>
        <w:t>►</w:t>
      </w:r>
      <w:r w:rsidRPr="007323A3">
        <w:rPr>
          <w:rFonts w:asciiTheme="minorHAnsi" w:hAnsiTheme="minorHAnsi" w:cstheme="minorHAnsi"/>
          <w:b/>
        </w:rPr>
        <w:t xml:space="preserve"> </w:t>
      </w:r>
      <w:r w:rsidR="00476CC1">
        <w:rPr>
          <w:rFonts w:asciiTheme="minorHAnsi" w:hAnsiTheme="minorHAnsi" w:cstheme="minorHAnsi"/>
        </w:rPr>
        <w:t>L’année 2013-2014 s’inscrit dans le cadre du quinquennal 2013-2018. La nouvelle maquette de la licence de démographie est sensiblement identique à celle d’aujourd’hui. Par contre la maquette du master a été remaniée en profondeur</w:t>
      </w:r>
      <w:r w:rsidR="00E20858">
        <w:rPr>
          <w:rFonts w:asciiTheme="minorHAnsi" w:hAnsiTheme="minorHAnsi" w:cstheme="minorHAnsi"/>
        </w:rPr>
        <w:t> :</w:t>
      </w:r>
    </w:p>
    <w:p w:rsidR="00EF0AAD" w:rsidRDefault="00E20858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Transfert de quelques cours du M2 au M1 </w:t>
      </w:r>
      <w:r w:rsidR="00A06E41">
        <w:rPr>
          <w:rFonts w:asciiTheme="minorHAnsi" w:hAnsiTheme="minorHAnsi" w:cstheme="minorHAnsi"/>
        </w:rPr>
        <w:t xml:space="preserve">(cartographie par exemple) </w:t>
      </w:r>
      <w:r>
        <w:rPr>
          <w:rFonts w:asciiTheme="minorHAnsi" w:hAnsiTheme="minorHAnsi" w:cstheme="minorHAnsi"/>
        </w:rPr>
        <w:t>afin de rééquilibrer la charge de travail</w:t>
      </w:r>
      <w:r w:rsidR="00A07FB3">
        <w:rPr>
          <w:rFonts w:asciiTheme="minorHAnsi" w:hAnsiTheme="minorHAnsi" w:cstheme="minorHAnsi"/>
        </w:rPr>
        <w:t xml:space="preserve"> pour les étudiants et répondre à l’évolution du marché professionnel.</w:t>
      </w:r>
    </w:p>
    <w:p w:rsidR="00E20858" w:rsidRDefault="00E20858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- 8 heures de remise à niveau prévues dès la rentrée à destination des M1 non titulaires de la licence de démographie.</w:t>
      </w:r>
    </w:p>
    <w:p w:rsidR="00E20858" w:rsidRDefault="00E20858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Introduction de nouveaux cours en M1</w:t>
      </w:r>
      <w:r w:rsidR="00A06E41">
        <w:rPr>
          <w:rFonts w:asciiTheme="minorHAnsi" w:hAnsiTheme="minorHAnsi" w:cstheme="minorHAnsi"/>
        </w:rPr>
        <w:t> : démographie pour terrain ethnographique (mutualisé avec le M1 d’ethnologie), géographie humaine (mutualisé avec le M1 de géographie), recherche de stage (rééquilibrage du volume horaire avec le M2).</w:t>
      </w:r>
    </w:p>
    <w:p w:rsidR="00A06E41" w:rsidRDefault="00A06E41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Renforcement de l’apprentissage de SAS en M1.</w:t>
      </w:r>
    </w:p>
    <w:p w:rsidR="00A06E41" w:rsidRDefault="00A06E41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Ajout d’une langue vivante en M2</w:t>
      </w:r>
      <w:r w:rsidR="00A07FB3">
        <w:rPr>
          <w:rFonts w:asciiTheme="minorHAnsi" w:hAnsiTheme="minorHAnsi" w:cstheme="minorHAnsi"/>
        </w:rPr>
        <w:t xml:space="preserve"> sous forme de conférences en anglais. Des cours disciplinaires en anglais vont remplacer les cours de langue.</w:t>
      </w:r>
    </w:p>
    <w:p w:rsidR="00A07FB3" w:rsidRDefault="00A07FB3" w:rsidP="00A07FB3">
      <w:pPr>
        <w:tabs>
          <w:tab w:val="left" w:pos="9072"/>
        </w:tabs>
        <w:spacing w:before="240"/>
        <w:jc w:val="both"/>
        <w:rPr>
          <w:rFonts w:asciiTheme="minorHAnsi" w:hAnsiTheme="minorHAnsi" w:cstheme="minorHAnsi"/>
        </w:rPr>
      </w:pPr>
      <w:r w:rsidRPr="007323A3">
        <w:rPr>
          <w:rFonts w:ascii="Arial" w:hAnsi="Arial" w:cs="Arial"/>
          <w:b/>
        </w:rPr>
        <w:t>►</w:t>
      </w:r>
      <w:r w:rsidRPr="007323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Autres projets :</w:t>
      </w:r>
    </w:p>
    <w:p w:rsidR="00A07FB3" w:rsidRDefault="00A07FB3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Projet de master bi-diplômant avec l’INRS de Montréal.</w:t>
      </w:r>
    </w:p>
    <w:p w:rsidR="00A07FB3" w:rsidRDefault="00A07FB3" w:rsidP="00A06E41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Réalisation d’un site internet.</w:t>
      </w:r>
    </w:p>
    <w:p w:rsidR="006D0B49" w:rsidRDefault="006D0B49" w:rsidP="00D32D30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Accueil du pôle « Recensement de la population » (CUS-INSEE) sur le campus.</w:t>
      </w:r>
    </w:p>
    <w:p w:rsidR="00D32D30" w:rsidRDefault="00A07FB3" w:rsidP="00D32D30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Développement des rapports avec le </w:t>
      </w:r>
      <w:proofErr w:type="spellStart"/>
      <w:r>
        <w:rPr>
          <w:rFonts w:asciiTheme="minorHAnsi" w:hAnsiTheme="minorHAnsi" w:cstheme="minorHAnsi"/>
        </w:rPr>
        <w:t>labex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282538">
        <w:rPr>
          <w:rFonts w:asciiTheme="minorHAnsi" w:hAnsiTheme="minorHAnsi" w:cstheme="minorHAnsi"/>
        </w:rPr>
        <w:t>iPOPs</w:t>
      </w:r>
      <w:proofErr w:type="spellEnd"/>
      <w:r>
        <w:rPr>
          <w:rFonts w:asciiTheme="minorHAnsi" w:hAnsiTheme="minorHAnsi" w:cstheme="minorHAnsi"/>
        </w:rPr>
        <w:t> : intégration des étudiants dans des recherches en partenariat avec l’INED, participation à des séminaires INED</w:t>
      </w:r>
      <w:r w:rsidR="00AB6A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etc.</w:t>
      </w:r>
    </w:p>
    <w:p w:rsidR="00A06E41" w:rsidRDefault="00D32D30" w:rsidP="00D32D30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06E41">
        <w:rPr>
          <w:rFonts w:asciiTheme="minorHAnsi" w:hAnsiTheme="minorHAnsi" w:cstheme="minorHAnsi"/>
        </w:rPr>
        <w:t>Mise en ro</w:t>
      </w:r>
      <w:r>
        <w:rPr>
          <w:rFonts w:asciiTheme="minorHAnsi" w:hAnsiTheme="minorHAnsi" w:cstheme="minorHAnsi"/>
        </w:rPr>
        <w:t xml:space="preserve">ute du </w:t>
      </w:r>
      <w:proofErr w:type="spellStart"/>
      <w:r>
        <w:rPr>
          <w:rFonts w:asciiTheme="minorHAnsi" w:hAnsiTheme="minorHAnsi" w:cstheme="minorHAnsi"/>
        </w:rPr>
        <w:t>DU</w:t>
      </w:r>
      <w:proofErr w:type="spellEnd"/>
      <w:r>
        <w:rPr>
          <w:rFonts w:asciiTheme="minorHAnsi" w:hAnsiTheme="minorHAnsi" w:cstheme="minorHAnsi"/>
        </w:rPr>
        <w:t xml:space="preserve"> de démographie l’année 2014. Cette formation</w:t>
      </w:r>
      <w:r w:rsidR="00A06E41">
        <w:rPr>
          <w:rFonts w:asciiTheme="minorHAnsi" w:hAnsiTheme="minorHAnsi" w:cstheme="minorHAnsi"/>
        </w:rPr>
        <w:t xml:space="preserve"> est autofinancé</w:t>
      </w:r>
      <w:r>
        <w:rPr>
          <w:rFonts w:asciiTheme="minorHAnsi" w:hAnsiTheme="minorHAnsi" w:cstheme="minorHAnsi"/>
        </w:rPr>
        <w:t>e</w:t>
      </w:r>
      <w:r w:rsidR="00A06E41">
        <w:rPr>
          <w:rFonts w:asciiTheme="minorHAnsi" w:hAnsiTheme="minorHAnsi" w:cstheme="minorHAnsi"/>
        </w:rPr>
        <w:t xml:space="preserve"> et ne sera proposé</w:t>
      </w:r>
      <w:r>
        <w:rPr>
          <w:rFonts w:asciiTheme="minorHAnsi" w:hAnsiTheme="minorHAnsi" w:cstheme="minorHAnsi"/>
        </w:rPr>
        <w:t>e</w:t>
      </w:r>
      <w:r w:rsidR="00A06E41">
        <w:rPr>
          <w:rFonts w:asciiTheme="minorHAnsi" w:hAnsiTheme="minorHAnsi" w:cstheme="minorHAnsi"/>
        </w:rPr>
        <w:t xml:space="preserve"> qu’à partir d’un seuil </w:t>
      </w:r>
      <w:r w:rsidR="00A06E41" w:rsidRPr="00D32D30">
        <w:rPr>
          <w:rFonts w:asciiTheme="minorHAnsi" w:hAnsiTheme="minorHAnsi" w:cstheme="minorHAnsi"/>
        </w:rPr>
        <w:t>de 6 candidatures.</w:t>
      </w:r>
    </w:p>
    <w:p w:rsidR="00D32D30" w:rsidRPr="00A06E41" w:rsidRDefault="00D32D30" w:rsidP="00D32D30">
      <w:pPr>
        <w:tabs>
          <w:tab w:val="left" w:pos="9072"/>
        </w:tabs>
        <w:spacing w:before="60"/>
        <w:ind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Habilitation à Diriger des Recherches de Philippe </w:t>
      </w:r>
      <w:proofErr w:type="spellStart"/>
      <w:r>
        <w:rPr>
          <w:rFonts w:asciiTheme="minorHAnsi" w:hAnsiTheme="minorHAnsi" w:cstheme="minorHAnsi"/>
        </w:rPr>
        <w:t>Cordazzo</w:t>
      </w:r>
      <w:proofErr w:type="spellEnd"/>
      <w:r w:rsidR="00391223">
        <w:rPr>
          <w:rFonts w:asciiTheme="minorHAnsi" w:hAnsiTheme="minorHAnsi" w:cstheme="minorHAnsi"/>
        </w:rPr>
        <w:t>.</w:t>
      </w:r>
    </w:p>
    <w:sectPr w:rsidR="00D32D30" w:rsidRPr="00A0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E87"/>
    <w:multiLevelType w:val="hybridMultilevel"/>
    <w:tmpl w:val="632AD470"/>
    <w:lvl w:ilvl="0" w:tplc="A2CE564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8"/>
    <w:rsid w:val="0003780C"/>
    <w:rsid w:val="000D2705"/>
    <w:rsid w:val="00112336"/>
    <w:rsid w:val="00220C85"/>
    <w:rsid w:val="00271EC2"/>
    <w:rsid w:val="00282538"/>
    <w:rsid w:val="002872C2"/>
    <w:rsid w:val="0029571F"/>
    <w:rsid w:val="002C1DA6"/>
    <w:rsid w:val="002C2B64"/>
    <w:rsid w:val="003369C7"/>
    <w:rsid w:val="00391223"/>
    <w:rsid w:val="003F05A0"/>
    <w:rsid w:val="004378CE"/>
    <w:rsid w:val="0044613A"/>
    <w:rsid w:val="004531BA"/>
    <w:rsid w:val="00476CC1"/>
    <w:rsid w:val="004C21DF"/>
    <w:rsid w:val="004F3E91"/>
    <w:rsid w:val="00543FE3"/>
    <w:rsid w:val="005B78AB"/>
    <w:rsid w:val="0068323B"/>
    <w:rsid w:val="00691F78"/>
    <w:rsid w:val="006D0B49"/>
    <w:rsid w:val="006D67CE"/>
    <w:rsid w:val="006D7897"/>
    <w:rsid w:val="006D7D6D"/>
    <w:rsid w:val="006F3C7F"/>
    <w:rsid w:val="00723681"/>
    <w:rsid w:val="007323A3"/>
    <w:rsid w:val="00740D45"/>
    <w:rsid w:val="008716D6"/>
    <w:rsid w:val="00882DFA"/>
    <w:rsid w:val="008C2568"/>
    <w:rsid w:val="0090546A"/>
    <w:rsid w:val="00934F64"/>
    <w:rsid w:val="009A006E"/>
    <w:rsid w:val="00A06E41"/>
    <w:rsid w:val="00A07FB3"/>
    <w:rsid w:val="00A252D0"/>
    <w:rsid w:val="00AB6A37"/>
    <w:rsid w:val="00AC18EE"/>
    <w:rsid w:val="00B65C28"/>
    <w:rsid w:val="00B92390"/>
    <w:rsid w:val="00BA462D"/>
    <w:rsid w:val="00CB3E3F"/>
    <w:rsid w:val="00D051DD"/>
    <w:rsid w:val="00D32D30"/>
    <w:rsid w:val="00D814E4"/>
    <w:rsid w:val="00D960CA"/>
    <w:rsid w:val="00DF0D8C"/>
    <w:rsid w:val="00E20858"/>
    <w:rsid w:val="00EE6423"/>
    <w:rsid w:val="00EF0AAD"/>
    <w:rsid w:val="00F1231C"/>
    <w:rsid w:val="00F27CF0"/>
    <w:rsid w:val="00FC7FDB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</dc:creator>
  <cp:lastModifiedBy>Alain</cp:lastModifiedBy>
  <cp:revision>13</cp:revision>
  <cp:lastPrinted>2013-06-22T11:17:00Z</cp:lastPrinted>
  <dcterms:created xsi:type="dcterms:W3CDTF">2013-06-13T08:35:00Z</dcterms:created>
  <dcterms:modified xsi:type="dcterms:W3CDTF">2013-06-22T11:21:00Z</dcterms:modified>
</cp:coreProperties>
</file>